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eastAsia="仿宋_GB2312"/>
          <w:spacing w:val="-4"/>
          <w:sz w:val="30"/>
          <w:szCs w:val="30"/>
          <w:lang w:eastAsia="zh-CN"/>
        </w:rPr>
      </w:pPr>
      <w:r>
        <w:rPr>
          <w:rFonts w:hint="eastAsia" w:ascii="仿宋_GB2312" w:eastAsia="仿宋_GB2312"/>
          <w:b/>
          <w:bCs/>
          <w:spacing w:val="-4"/>
          <w:sz w:val="32"/>
          <w:szCs w:val="32"/>
          <w:lang w:eastAsia="zh-CN"/>
        </w:rPr>
        <w:t>中铝环保：</w:t>
      </w:r>
    </w:p>
    <w:p>
      <w:pPr>
        <w:jc w:val="center"/>
        <w:rPr>
          <w:rFonts w:ascii="方正小标宋简体" w:eastAsia="方正小标宋简体"/>
          <w:sz w:val="44"/>
          <w:szCs w:val="44"/>
        </w:rPr>
      </w:pPr>
      <w:r>
        <w:rPr>
          <w:rFonts w:hint="eastAsia" w:ascii="方正小标宋简体" w:eastAsia="方正小标宋简体"/>
          <w:sz w:val="44"/>
          <w:szCs w:val="44"/>
        </w:rPr>
        <w:t>碳排放盘查</w:t>
      </w:r>
    </w:p>
    <w:p>
      <w:pPr>
        <w:ind w:firstLine="615"/>
        <w:rPr>
          <w:rFonts w:ascii="黑体" w:hAnsi="黑体" w:eastAsia="黑体"/>
          <w:spacing w:val="-4"/>
          <w:sz w:val="30"/>
          <w:szCs w:val="30"/>
        </w:rPr>
      </w:pPr>
      <w:r>
        <w:rPr>
          <w:rFonts w:hint="eastAsia" w:ascii="黑体" w:hAnsi="黑体" w:eastAsia="黑体"/>
          <w:spacing w:val="-4"/>
          <w:sz w:val="30"/>
          <w:szCs w:val="30"/>
        </w:rPr>
        <w:t>一、简介</w:t>
      </w:r>
    </w:p>
    <w:p>
      <w:pPr>
        <w:ind w:firstLine="615"/>
        <w:rPr>
          <w:rFonts w:ascii="仿宋_GB2312" w:eastAsia="仿宋_GB2312"/>
          <w:spacing w:val="-4"/>
          <w:sz w:val="30"/>
          <w:szCs w:val="30"/>
        </w:rPr>
      </w:pPr>
      <w:r>
        <w:rPr>
          <w:rFonts w:hint="eastAsia" w:ascii="仿宋_GB2312" w:eastAsia="仿宋_GB2312"/>
          <w:spacing w:val="-4"/>
          <w:sz w:val="30"/>
          <w:szCs w:val="30"/>
        </w:rPr>
        <w:t>为响应国家绿色低碳经济发展，积极推进碳市场建设，2019年7月，中铝环保组建2个碳排放数据盘查专家组，对中铝集团2018年70余家重点排放企业碳排放数据进行全面盘查。盘查涉及发电、电解铝、氧化铝、铜铅锌锰硅冶炼、铝（铜）加工、水泥、化工、稀土等生产业务单元共94个，基本摸清了中铝集团碳资产家底，有利于中铝集团下一步开展降碳工作。</w:t>
      </w:r>
    </w:p>
    <w:p>
      <w:pPr>
        <w:ind w:firstLine="615"/>
        <w:rPr>
          <w:rFonts w:ascii="黑体" w:hAnsi="黑体" w:eastAsia="黑体"/>
          <w:spacing w:val="-4"/>
          <w:sz w:val="30"/>
          <w:szCs w:val="30"/>
        </w:rPr>
      </w:pPr>
      <w:r>
        <w:rPr>
          <w:rFonts w:hint="eastAsia" w:ascii="黑体" w:hAnsi="黑体" w:eastAsia="黑体"/>
          <w:spacing w:val="-4"/>
          <w:sz w:val="30"/>
          <w:szCs w:val="30"/>
        </w:rPr>
        <w:t>二、背景</w:t>
      </w:r>
    </w:p>
    <w:p>
      <w:pPr>
        <w:ind w:firstLine="600"/>
        <w:rPr>
          <w:rFonts w:ascii="仿宋_GB2312" w:eastAsia="仿宋_GB2312"/>
          <w:sz w:val="30"/>
          <w:szCs w:val="30"/>
        </w:rPr>
      </w:pPr>
      <w:r>
        <w:rPr>
          <w:rFonts w:hint="eastAsia" w:ascii="仿宋_GB2312" w:eastAsia="仿宋_GB2312"/>
          <w:sz w:val="30"/>
          <w:szCs w:val="30"/>
        </w:rPr>
        <w:t>2017年12月19日，国家发展改革委员会召开了全国碳排放交易体系启动工作新闻发布会，宣布中国碳排放交易体系已完成总体设计并正式启动。国家发改委印发了《全国碳排放权交易市场建设方案（发电行业）》（发改气候规[2017]2191号），方案明确以发电行业为突破口，率先启动全国碳排放交易体系，分阶段有步骤地逐渐推进碳市场建设，逐步扩大参与碳市场的行业范围和交易主体范围，增加交易品种，最终建立起具有国际影响力的碳市场。</w:t>
      </w:r>
    </w:p>
    <w:p>
      <w:pPr>
        <w:ind w:firstLine="615"/>
        <w:rPr>
          <w:rFonts w:hint="eastAsia" w:ascii="仿宋_GB2312" w:eastAsia="仿宋_GB2312"/>
          <w:sz w:val="30"/>
          <w:szCs w:val="30"/>
        </w:rPr>
      </w:pPr>
      <w:r>
        <w:rPr>
          <w:rFonts w:hint="eastAsia" w:ascii="仿宋_GB2312" w:eastAsia="仿宋_GB2312"/>
          <w:sz w:val="30"/>
          <w:szCs w:val="30"/>
        </w:rPr>
        <w:t>2019年1月17日，国家生态环境部印发</w:t>
      </w:r>
      <w:r>
        <w:rPr>
          <w:rFonts w:hint="eastAsia" w:ascii="仿宋_GB2312" w:hAnsi="华文仿宋" w:eastAsia="仿宋_GB2312" w:cs="华文仿宋"/>
          <w:color w:val="000000"/>
          <w:kern w:val="0"/>
          <w:sz w:val="30"/>
          <w:szCs w:val="30"/>
        </w:rPr>
        <w:t>《生态环境部关于做好2018年度碳排放报告与核查及排放监测计划制定工作的通知》（环办气候函〔2019〕71号）</w:t>
      </w:r>
      <w:r>
        <w:rPr>
          <w:rFonts w:hint="eastAsia" w:ascii="仿宋_GB2312" w:eastAsia="仿宋_GB2312"/>
          <w:sz w:val="30"/>
          <w:szCs w:val="30"/>
        </w:rPr>
        <w:t>，要求各企业在2019年3月31日前按照核算指南及新版补充数据表核算并报告其2018年度的温室气体排放量及其他相关数据，并制定排放监测计划。同时，各企业需配合地方主管部门在2019年5月30日前完成上述碳排放核算报告等第三方核查工作。</w:t>
      </w:r>
    </w:p>
    <w:p>
      <w:pPr>
        <w:spacing w:line="560" w:lineRule="exact"/>
        <w:ind w:firstLine="600"/>
        <w:rPr>
          <w:rFonts w:hint="eastAsia" w:ascii="仿宋_GB2312" w:eastAsia="仿宋_GB2312"/>
          <w:sz w:val="30"/>
          <w:szCs w:val="30"/>
        </w:rPr>
      </w:pPr>
      <w:r>
        <w:rPr>
          <w:rFonts w:hint="eastAsia" w:ascii="仿宋_GB2312" w:eastAsia="仿宋_GB2312"/>
          <w:sz w:val="30"/>
          <w:szCs w:val="30"/>
          <w:lang w:eastAsia="zh-CN"/>
        </w:rPr>
        <w:t>中铝集团处于国家</w:t>
      </w:r>
      <w:r>
        <w:rPr>
          <w:rFonts w:hint="eastAsia" w:ascii="仿宋_GB2312" w:eastAsia="仿宋_GB2312"/>
          <w:sz w:val="30"/>
          <w:szCs w:val="30"/>
        </w:rPr>
        <w:t>碳盘查</w:t>
      </w:r>
      <w:r>
        <w:rPr>
          <w:rFonts w:hint="eastAsia" w:ascii="仿宋_GB2312" w:eastAsia="仿宋_GB2312"/>
          <w:sz w:val="30"/>
          <w:szCs w:val="30"/>
          <w:lang w:eastAsia="zh-CN"/>
        </w:rPr>
        <w:t>的重点领域，需按相关要求有序做好相关碳排查工作</w:t>
      </w:r>
      <w:r>
        <w:rPr>
          <w:rFonts w:hint="eastAsia" w:ascii="仿宋_GB2312" w:eastAsia="仿宋_GB2312"/>
          <w:sz w:val="30"/>
          <w:szCs w:val="30"/>
        </w:rPr>
        <w:t>。</w:t>
      </w:r>
    </w:p>
    <w:p>
      <w:pPr>
        <w:ind w:firstLine="615"/>
        <w:rPr>
          <w:rFonts w:ascii="黑体" w:hAnsi="黑体" w:eastAsia="黑体"/>
          <w:sz w:val="30"/>
          <w:szCs w:val="30"/>
        </w:rPr>
      </w:pPr>
      <w:r>
        <w:rPr>
          <w:rFonts w:hint="eastAsia" w:ascii="黑体" w:hAnsi="黑体" w:eastAsia="黑体"/>
          <w:sz w:val="30"/>
          <w:szCs w:val="30"/>
        </w:rPr>
        <w:t>三、实施方案</w:t>
      </w:r>
    </w:p>
    <w:p>
      <w:pPr>
        <w:spacing w:line="560" w:lineRule="exact"/>
        <w:ind w:firstLine="600"/>
        <w:jc w:val="left"/>
        <w:rPr>
          <w:rFonts w:ascii="仿宋_GB2312" w:eastAsia="仿宋_GB2312"/>
          <w:sz w:val="30"/>
          <w:szCs w:val="30"/>
        </w:rPr>
      </w:pPr>
      <w:r>
        <w:rPr>
          <w:rFonts w:hint="eastAsia" w:ascii="仿宋_GB2312" w:eastAsia="仿宋_GB2312"/>
          <w:sz w:val="30"/>
          <w:szCs w:val="30"/>
        </w:rPr>
        <w:t>2019年7月1日，中铝集团安全环保健康部下发了《关于盘查2018年碳排放数据的通知》（中铝安字【2018】 313 号），中铝环保</w:t>
      </w:r>
      <w:r>
        <w:rPr>
          <w:rFonts w:hint="eastAsia" w:ascii="仿宋_GB2312" w:eastAsia="仿宋_GB2312"/>
          <w:spacing w:val="-4"/>
          <w:sz w:val="30"/>
          <w:szCs w:val="30"/>
        </w:rPr>
        <w:t>整合中铝集团内部技术力量，</w:t>
      </w:r>
      <w:r>
        <w:rPr>
          <w:rFonts w:hint="eastAsia" w:ascii="仿宋_GB2312" w:eastAsia="仿宋_GB2312"/>
          <w:sz w:val="30"/>
          <w:szCs w:val="30"/>
        </w:rPr>
        <w:t xml:space="preserve">组建了两个碳盘查专家组，同时建立“中铝集团碳排放工作”微信群，发放相关碳盘查培训资料，对相关人员进行盘查前培训，全面启动对中铝集团2018年重点排放企业碳排放数据盘查工作， </w:t>
      </w:r>
    </w:p>
    <w:p>
      <w:pPr>
        <w:spacing w:line="560" w:lineRule="exact"/>
        <w:ind w:firstLine="600"/>
        <w:rPr>
          <w:rFonts w:ascii="仿宋_GB2312" w:eastAsia="仿宋_GB2312"/>
          <w:sz w:val="30"/>
          <w:szCs w:val="30"/>
        </w:rPr>
      </w:pPr>
      <w:r>
        <w:rPr>
          <w:rFonts w:hint="eastAsia" w:ascii="仿宋_GB2312" w:eastAsia="仿宋_GB2312"/>
          <w:sz w:val="30"/>
          <w:szCs w:val="30"/>
          <w:lang w:eastAsia="zh-CN"/>
        </w:rPr>
        <w:t>划定</w:t>
      </w:r>
      <w:r>
        <w:rPr>
          <w:rFonts w:hint="eastAsia" w:ascii="仿宋_GB2312" w:eastAsia="仿宋_GB2312"/>
          <w:sz w:val="30"/>
          <w:szCs w:val="30"/>
        </w:rPr>
        <w:t>盘查范围</w:t>
      </w:r>
      <w:r>
        <w:rPr>
          <w:rFonts w:hint="eastAsia" w:ascii="仿宋_GB2312" w:eastAsia="仿宋_GB2312"/>
          <w:sz w:val="30"/>
          <w:szCs w:val="30"/>
          <w:lang w:eastAsia="zh-CN"/>
        </w:rPr>
        <w:t>。</w:t>
      </w:r>
      <w:r>
        <w:rPr>
          <w:rFonts w:hint="eastAsia" w:ascii="仿宋_GB2312" w:eastAsia="仿宋_GB2312"/>
          <w:sz w:val="30"/>
          <w:szCs w:val="30"/>
        </w:rPr>
        <w:t>本次碳盘查范围包括氧化铝、电解铝、电力（包括自备电厂）、铜（铅、锌）冶炼、铝（铜）加工、水泥、氯碱、稀土、矿山等行业2013至2018年任一年温室气体排放量达2.6万吨二氧化碳当量（综合能源消费量约1万吨标准煤）及以上的实体企业。</w:t>
      </w:r>
    </w:p>
    <w:p>
      <w:pPr>
        <w:spacing w:line="560" w:lineRule="exact"/>
        <w:ind w:firstLine="600"/>
        <w:rPr>
          <w:rFonts w:hint="eastAsia" w:ascii="仿宋_GB2312" w:eastAsia="仿宋_GB2312"/>
          <w:sz w:val="30"/>
          <w:szCs w:val="30"/>
          <w:lang w:eastAsia="zh-CN"/>
        </w:rPr>
      </w:pPr>
      <w:r>
        <w:rPr>
          <w:rFonts w:hint="eastAsia" w:ascii="仿宋_GB2312" w:eastAsia="仿宋_GB2312"/>
          <w:sz w:val="30"/>
          <w:szCs w:val="30"/>
          <w:lang w:eastAsia="zh-CN"/>
        </w:rPr>
        <w:t>确定</w:t>
      </w:r>
      <w:r>
        <w:rPr>
          <w:rFonts w:hint="eastAsia" w:ascii="仿宋_GB2312" w:eastAsia="仿宋_GB2312"/>
          <w:sz w:val="30"/>
          <w:szCs w:val="30"/>
        </w:rPr>
        <w:t>碳盘查方式</w:t>
      </w:r>
      <w:r>
        <w:rPr>
          <w:rFonts w:hint="eastAsia" w:ascii="仿宋_GB2312" w:eastAsia="仿宋_GB2312"/>
          <w:sz w:val="30"/>
          <w:szCs w:val="30"/>
          <w:lang w:eastAsia="zh-CN"/>
        </w:rPr>
        <w:t>。</w:t>
      </w:r>
      <w:r>
        <w:rPr>
          <w:rFonts w:hint="eastAsia" w:ascii="仿宋_GB2312" w:eastAsia="仿宋_GB2312"/>
          <w:sz w:val="30"/>
          <w:szCs w:val="30"/>
        </w:rPr>
        <w:t>本次碳盘查采取专家现场盘查、专家指导盘查和企业自行盘查等三种方式。盘查专家组于7月17日至8月25日对山西新材料、兰州分公司、中铝矿业、云铜西南分公司、云铜锌业、文山铝业、驰宏锌锗、遵义铝业等19家企业进行现场盘查或现场专家指导盘查，并编制各企业碳排放报告、盘查报告、补充数据表及碳排放监测计划；同期包头铝业、中州铝业、东轻、云南斗南锰业、永昌硅业等50余家企业自行组织碳排放数据盘查，并编制碳排放报告</w:t>
      </w:r>
      <w:r>
        <w:rPr>
          <w:rFonts w:hint="eastAsia" w:ascii="仿宋_GB2312" w:eastAsia="仿宋_GB2312"/>
          <w:sz w:val="30"/>
          <w:szCs w:val="30"/>
          <w:lang w:eastAsia="zh-CN"/>
        </w:rPr>
        <w:t>。</w:t>
      </w:r>
    </w:p>
    <w:p>
      <w:pPr>
        <w:spacing w:line="560" w:lineRule="exact"/>
        <w:ind w:firstLine="600"/>
        <w:rPr>
          <w:rFonts w:ascii="仿宋_GB2312" w:eastAsia="仿宋_GB2312"/>
          <w:sz w:val="30"/>
          <w:szCs w:val="30"/>
        </w:rPr>
      </w:pPr>
      <w:r>
        <w:rPr>
          <w:rFonts w:hint="eastAsia" w:ascii="仿宋_GB2312" w:eastAsia="仿宋_GB2312"/>
          <w:sz w:val="30"/>
          <w:szCs w:val="30"/>
        </w:rPr>
        <w:t xml:space="preserve"> </w:t>
      </w:r>
      <w:r>
        <w:rPr>
          <w:rFonts w:hint="eastAsia" w:ascii="仿宋_GB2312" w:eastAsia="仿宋_GB2312"/>
          <w:sz w:val="30"/>
          <w:szCs w:val="30"/>
          <w:lang w:eastAsia="zh-CN"/>
        </w:rPr>
        <w:t>形成</w:t>
      </w:r>
      <w:r>
        <w:rPr>
          <w:rFonts w:hint="eastAsia" w:ascii="仿宋_GB2312" w:eastAsia="仿宋_GB2312"/>
          <w:sz w:val="30"/>
          <w:szCs w:val="30"/>
        </w:rPr>
        <w:t>碳排放盘查报告</w:t>
      </w:r>
      <w:r>
        <w:rPr>
          <w:rFonts w:hint="eastAsia" w:ascii="仿宋_GB2312" w:eastAsia="仿宋_GB2312"/>
          <w:sz w:val="30"/>
          <w:szCs w:val="30"/>
          <w:lang w:eastAsia="zh-CN"/>
        </w:rPr>
        <w:t>。</w:t>
      </w:r>
      <w:r>
        <w:rPr>
          <w:rFonts w:hint="eastAsia" w:ascii="仿宋_GB2312" w:eastAsia="仿宋_GB2312"/>
          <w:sz w:val="30"/>
          <w:szCs w:val="30"/>
        </w:rPr>
        <w:t>8月25</w:t>
      </w:r>
      <w:r>
        <w:rPr>
          <w:rFonts w:hint="eastAsia" w:ascii="仿宋_GB2312" w:eastAsia="仿宋_GB2312"/>
          <w:sz w:val="30"/>
          <w:szCs w:val="30"/>
          <w:lang w:eastAsia="zh-CN"/>
        </w:rPr>
        <w:t>日</w:t>
      </w:r>
      <w:r>
        <w:rPr>
          <w:rFonts w:hint="eastAsia" w:ascii="仿宋_GB2312" w:eastAsia="仿宋_GB2312"/>
          <w:sz w:val="30"/>
          <w:szCs w:val="30"/>
        </w:rPr>
        <w:t>-9月5日中铝环保组织专家对中铝集团所有重点排放企业排放报告进行审核、整理、分析，形成中铝集团2018年碳排放盘查工作总结及建议报告。</w:t>
      </w:r>
    </w:p>
    <w:p>
      <w:pPr>
        <w:spacing w:line="560" w:lineRule="exact"/>
        <w:ind w:firstLine="600"/>
        <w:rPr>
          <w:rFonts w:ascii="黑体" w:hAnsi="黑体" w:eastAsia="黑体"/>
          <w:sz w:val="30"/>
          <w:szCs w:val="30"/>
        </w:rPr>
      </w:pPr>
      <w:r>
        <w:rPr>
          <w:rFonts w:hint="eastAsia" w:ascii="黑体" w:hAnsi="黑体" w:eastAsia="黑体"/>
          <w:sz w:val="30"/>
          <w:szCs w:val="30"/>
        </w:rPr>
        <w:t>四、成效</w:t>
      </w:r>
    </w:p>
    <w:p>
      <w:pPr>
        <w:spacing w:line="560" w:lineRule="exact"/>
        <w:ind w:firstLine="600"/>
        <w:rPr>
          <w:rFonts w:ascii="仿宋_GB2312" w:hAnsi="华文仿宋" w:eastAsia="仿宋_GB2312" w:cs="华文仿宋"/>
          <w:color w:val="000000"/>
          <w:kern w:val="0"/>
          <w:sz w:val="30"/>
          <w:szCs w:val="30"/>
        </w:rPr>
      </w:pPr>
      <w:r>
        <w:rPr>
          <w:rFonts w:hint="eastAsia" w:ascii="仿宋_GB2312" w:hAnsi="华文仿宋" w:eastAsia="仿宋_GB2312" w:cs="华文仿宋"/>
          <w:color w:val="000000"/>
          <w:kern w:val="0"/>
          <w:sz w:val="30"/>
          <w:szCs w:val="30"/>
        </w:rPr>
        <w:t>通过本次全面盘查，一方面摸清了中铝集团2018年温室气体排放情况，了解了重点排放企业碳排放管理现状，以及碳排放管理中存在的问题，并提出了相关工作建议，为下一步开展降碳工作提供原始数据，为中铝集团应对国家碳排放权交易奠定了良好基础；另一方面也培养了队伍，使中铝集团具备了独立开展碳盘查、碳核查能力。</w:t>
      </w:r>
    </w:p>
    <w:p>
      <w:pPr>
        <w:spacing w:line="560" w:lineRule="exact"/>
        <w:ind w:firstLine="600"/>
        <w:rPr>
          <w:rFonts w:ascii="黑体" w:hAnsi="黑体" w:eastAsia="黑体" w:cs="华文仿宋"/>
          <w:color w:val="000000"/>
          <w:kern w:val="0"/>
          <w:sz w:val="30"/>
          <w:szCs w:val="30"/>
        </w:rPr>
      </w:pPr>
      <w:r>
        <w:rPr>
          <w:rFonts w:hint="eastAsia" w:ascii="黑体" w:hAnsi="黑体" w:eastAsia="黑体" w:cs="华文仿宋"/>
          <w:color w:val="000000"/>
          <w:kern w:val="0"/>
          <w:sz w:val="30"/>
          <w:szCs w:val="30"/>
        </w:rPr>
        <w:t>五、展望</w:t>
      </w:r>
    </w:p>
    <w:p>
      <w:pPr>
        <w:ind w:firstLine="615"/>
        <w:rPr>
          <w:rFonts w:ascii="仿宋_GB2312" w:eastAsia="仿宋_GB2312"/>
          <w:sz w:val="30"/>
          <w:szCs w:val="30"/>
        </w:rPr>
      </w:pPr>
      <w:r>
        <w:rPr>
          <w:rFonts w:hint="eastAsia" w:ascii="仿宋_GB2312" w:eastAsia="仿宋_GB2312"/>
          <w:sz w:val="30"/>
          <w:szCs w:val="30"/>
        </w:rPr>
        <w:t>未来，中铝集团通过建立碳资产信息化管理平台，推行碳资产集中统一管理（统一管理、统一核算、统一交易、统一开发）模式，探索集团内部碳交易体系，完善中铝集团碳资产管理体制建设；积极跟踪、研究国内外节能减碳新技术，分析发电、有色等相关行业能源结构和能耗水平，搭建发电、铝、铜等有色行业碳减排成本曲线，评估行业碳减排潜力，编制中铝集团碳减排发展规划；建立节能降碳绿色基金、低碳项目推广实施绿色通道，积极组织绿色低碳项目实施，引领有色行业绿色低碳经济发展。</w:t>
      </w:r>
    </w:p>
    <w:p>
      <w:pPr>
        <w:rPr>
          <w:rFonts w:ascii="仿宋_GB2312" w:eastAsia="仿宋_GB2312"/>
          <w:spacing w:val="-4"/>
          <w:sz w:val="30"/>
          <w:szCs w:val="30"/>
        </w:rPr>
      </w:pPr>
    </w:p>
    <w:p>
      <w:pPr>
        <w:spacing w:line="400" w:lineRule="exact"/>
        <w:jc w:val="right"/>
        <w:rPr>
          <w:rFonts w:ascii="仿宋_GB2312" w:eastAsia="仿宋_GB2312"/>
          <w:sz w:val="30"/>
          <w:szCs w:val="30"/>
        </w:rPr>
      </w:pPr>
      <w:bookmarkStart w:id="0" w:name="_GoBack"/>
      <w:bookmarkEnd w:id="0"/>
      <w:r>
        <w:rPr>
          <w:rFonts w:hint="eastAsia" w:ascii="仿宋_GB2312" w:hAnsi="仿宋_GB2312" w:eastAsia="仿宋_GB2312" w:cs="仿宋_GB2312"/>
          <w:sz w:val="28"/>
        </w:rPr>
        <w:t>谢文俊</w:t>
      </w:r>
      <w:r>
        <w:rPr>
          <w:rFonts w:hint="eastAsia" w:ascii="仿宋_GB2312" w:hAnsi="仿宋_GB2312" w:eastAsia="仿宋_GB2312" w:cs="仿宋_GB2312"/>
          <w:sz w:val="28"/>
          <w:lang w:val="en-US" w:eastAsia="zh-CN"/>
        </w:rPr>
        <w:t xml:space="preserve">  </w:t>
      </w:r>
      <w:r>
        <w:rPr>
          <w:rFonts w:hint="eastAsia" w:ascii="仿宋_GB2312" w:hAnsi="仿宋_GB2312" w:eastAsia="仿宋_GB2312" w:cs="仿宋_GB2312"/>
          <w:sz w:val="28"/>
        </w:rPr>
        <w:t>刘春蕾</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1</w:t>
    </w:r>
    <w:r>
      <w:rPr>
        <w:lang w:val="zh-CN"/>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D6D83"/>
    <w:rsid w:val="00007E29"/>
    <w:rsid w:val="0001210C"/>
    <w:rsid w:val="00036D0F"/>
    <w:rsid w:val="00057B35"/>
    <w:rsid w:val="00067B99"/>
    <w:rsid w:val="0007332D"/>
    <w:rsid w:val="000E1CCA"/>
    <w:rsid w:val="0010631D"/>
    <w:rsid w:val="0011110F"/>
    <w:rsid w:val="00141E51"/>
    <w:rsid w:val="00151AE8"/>
    <w:rsid w:val="001825BF"/>
    <w:rsid w:val="001D4A03"/>
    <w:rsid w:val="001D6945"/>
    <w:rsid w:val="00212922"/>
    <w:rsid w:val="002336F3"/>
    <w:rsid w:val="002513DA"/>
    <w:rsid w:val="00266D43"/>
    <w:rsid w:val="00285CB2"/>
    <w:rsid w:val="002E485B"/>
    <w:rsid w:val="002F199D"/>
    <w:rsid w:val="00316795"/>
    <w:rsid w:val="00336CD9"/>
    <w:rsid w:val="003541D9"/>
    <w:rsid w:val="003750B3"/>
    <w:rsid w:val="00375C58"/>
    <w:rsid w:val="003E0D89"/>
    <w:rsid w:val="00426D21"/>
    <w:rsid w:val="00442115"/>
    <w:rsid w:val="004E0054"/>
    <w:rsid w:val="005710D8"/>
    <w:rsid w:val="005A4DF8"/>
    <w:rsid w:val="005B42CF"/>
    <w:rsid w:val="005C5E5F"/>
    <w:rsid w:val="00605F54"/>
    <w:rsid w:val="006140AC"/>
    <w:rsid w:val="006E6383"/>
    <w:rsid w:val="0070776D"/>
    <w:rsid w:val="00731954"/>
    <w:rsid w:val="00750151"/>
    <w:rsid w:val="00764C78"/>
    <w:rsid w:val="00801E13"/>
    <w:rsid w:val="0083526A"/>
    <w:rsid w:val="00864274"/>
    <w:rsid w:val="00907172"/>
    <w:rsid w:val="00974D13"/>
    <w:rsid w:val="009753F9"/>
    <w:rsid w:val="009B7DE2"/>
    <w:rsid w:val="009E37DF"/>
    <w:rsid w:val="009F1403"/>
    <w:rsid w:val="00A00375"/>
    <w:rsid w:val="00A06832"/>
    <w:rsid w:val="00A26FF7"/>
    <w:rsid w:val="00A8059A"/>
    <w:rsid w:val="00A874AE"/>
    <w:rsid w:val="00AE5752"/>
    <w:rsid w:val="00B355E6"/>
    <w:rsid w:val="00B90373"/>
    <w:rsid w:val="00BA28D2"/>
    <w:rsid w:val="00BB4CC0"/>
    <w:rsid w:val="00C06286"/>
    <w:rsid w:val="00C3040F"/>
    <w:rsid w:val="00C6057E"/>
    <w:rsid w:val="00C720E3"/>
    <w:rsid w:val="00CB4248"/>
    <w:rsid w:val="00CE5CFF"/>
    <w:rsid w:val="00D87996"/>
    <w:rsid w:val="00DC5CF1"/>
    <w:rsid w:val="00E103E4"/>
    <w:rsid w:val="00E1794F"/>
    <w:rsid w:val="00E24FA3"/>
    <w:rsid w:val="00E92CED"/>
    <w:rsid w:val="00E9695A"/>
    <w:rsid w:val="00EB39C8"/>
    <w:rsid w:val="00EB400C"/>
    <w:rsid w:val="00EC31F5"/>
    <w:rsid w:val="00ED6D83"/>
    <w:rsid w:val="00EE16E8"/>
    <w:rsid w:val="00F07D5C"/>
    <w:rsid w:val="00F94C55"/>
    <w:rsid w:val="00FA522A"/>
    <w:rsid w:val="01D722E6"/>
    <w:rsid w:val="12AC2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20"/>
    <w:rPr>
      <w:i/>
      <w:iCs/>
    </w:rPr>
  </w:style>
  <w:style w:type="character" w:customStyle="1" w:styleId="8">
    <w:name w:val="批注框文本 Char"/>
    <w:basedOn w:val="6"/>
    <w:link w:val="2"/>
    <w:semiHidden/>
    <w:uiPriority w:val="99"/>
    <w:rPr>
      <w:sz w:val="18"/>
      <w:szCs w:val="18"/>
    </w:rPr>
  </w:style>
  <w:style w:type="paragraph" w:styleId="9">
    <w:name w:val="List Paragraph"/>
    <w:basedOn w:val="1"/>
    <w:qFormat/>
    <w:uiPriority w:val="34"/>
    <w:pPr>
      <w:ind w:firstLine="420" w:firstLineChars="200"/>
    </w:pPr>
  </w:style>
  <w:style w:type="paragraph" w:customStyle="1" w:styleId="10">
    <w:name w:val="_Style 4"/>
    <w:basedOn w:val="1"/>
    <w:qFormat/>
    <w:uiPriority w:val="0"/>
    <w:pPr>
      <w:ind w:firstLine="420" w:firstLineChars="200"/>
    </w:pPr>
  </w:style>
  <w:style w:type="character" w:customStyle="1" w:styleId="11">
    <w:name w:val="页眉 Char"/>
    <w:basedOn w:val="6"/>
    <w:link w:val="4"/>
    <w:semiHidden/>
    <w:uiPriority w:val="99"/>
    <w:rPr>
      <w:kern w:val="2"/>
      <w:sz w:val="18"/>
      <w:szCs w:val="18"/>
    </w:rPr>
  </w:style>
  <w:style w:type="character" w:customStyle="1" w:styleId="12">
    <w:name w:val="页脚 Char"/>
    <w:basedOn w:val="6"/>
    <w:link w:val="3"/>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A70F98-943C-4141-890A-0312639C7D60}">
  <ds:schemaRefs/>
</ds:datastoreItem>
</file>

<file path=docProps/app.xml><?xml version="1.0" encoding="utf-8"?>
<Properties xmlns="http://schemas.openxmlformats.org/officeDocument/2006/extended-properties" xmlns:vt="http://schemas.openxmlformats.org/officeDocument/2006/docPropsVTypes">
  <Template>Normal</Template>
  <Pages>3</Pages>
  <Words>237</Words>
  <Characters>1357</Characters>
  <Lines>11</Lines>
  <Paragraphs>3</Paragraphs>
  <TotalTime>1</TotalTime>
  <ScaleCrop>false</ScaleCrop>
  <LinksUpToDate>false</LinksUpToDate>
  <CharactersWithSpaces>1591</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2020-01-15T07:20:00Z</dcterms:created>
  <dc:creator>user</dc:creator>
  <cp:lastModifiedBy>木央</cp:lastModifiedBy>
  <dcterms:modified xsi:type="dcterms:W3CDTF">2021-07-26T02:30:58Z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