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仿宋_GB2312" w:eastAsiaTheme="majorEastAsia"/>
          <w:sz w:val="32"/>
          <w:szCs w:val="32"/>
          <w:lang w:eastAsia="zh-CN"/>
        </w:rPr>
      </w:pPr>
      <w:r>
        <w:rPr>
          <w:rFonts w:hint="eastAsia" w:asciiTheme="majorEastAsia" w:hAnsiTheme="majorEastAsia" w:eastAsiaTheme="majorEastAsia"/>
          <w:b/>
          <w:sz w:val="30"/>
          <w:szCs w:val="30"/>
        </w:rPr>
        <w:t>遵义铝业</w:t>
      </w:r>
      <w:r>
        <w:rPr>
          <w:rFonts w:hint="eastAsia" w:asciiTheme="majorEastAsia" w:hAnsiTheme="majorEastAsia" w:eastAsiaTheme="majorEastAsia"/>
          <w:b/>
          <w:sz w:val="30"/>
          <w:szCs w:val="30"/>
          <w:lang w:eastAsia="zh-CN"/>
        </w:rPr>
        <w:t>：</w:t>
      </w:r>
    </w:p>
    <w:p>
      <w:pPr>
        <w:spacing w:line="56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清洁生产，降耗减污增效</w:t>
      </w:r>
    </w:p>
    <w:p>
      <w:pPr>
        <w:spacing w:line="560" w:lineRule="exact"/>
        <w:jc w:val="center"/>
        <w:rPr>
          <w:rFonts w:ascii="仿宋_GB2312" w:eastAsia="仿宋_GB2312"/>
          <w:sz w:val="30"/>
          <w:szCs w:val="30"/>
        </w:rPr>
      </w:pPr>
    </w:p>
    <w:p>
      <w:pPr>
        <w:spacing w:line="560" w:lineRule="exact"/>
        <w:ind w:firstLine="640" w:firstLineChars="200"/>
        <w:rPr>
          <w:rFonts w:ascii="黑体" w:hAnsi="黑体" w:eastAsia="黑体"/>
          <w:sz w:val="32"/>
          <w:szCs w:val="32"/>
        </w:rPr>
      </w:pPr>
      <w:r>
        <w:rPr>
          <w:rFonts w:hint="eastAsia" w:ascii="黑体" w:hAnsi="黑体" w:eastAsia="黑体"/>
          <w:sz w:val="32"/>
          <w:szCs w:val="32"/>
        </w:rPr>
        <w:t>一、简介</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遵义铝业股份有限公司（简称遵义铝业）为中国铝业股份有限公司旗下控股子公司，位于贵州省遵义市播州区。始建于1985年，1988年电解铝生产系列建成投产，2006年并入中铝股份，2018年6月30日，原遵义铝业股份有限公司（简称电解铝片区）与原中国铝业遵义氧化铝有限公司（简称氧化铝片区）整合成为新的遵义铝业股份有限公司。</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遵义铝业氧化铝片区,建设规模为年产80万</w:t>
      </w:r>
      <w:r>
        <w:rPr>
          <w:rFonts w:hint="eastAsia" w:ascii="仿宋_GB2312" w:eastAsia="仿宋_GB2312"/>
          <w:sz w:val="32"/>
          <w:szCs w:val="32"/>
          <w:lang w:eastAsia="zh-CN"/>
        </w:rPr>
        <w:t>吨</w:t>
      </w:r>
      <w:r>
        <w:rPr>
          <w:rFonts w:hint="eastAsia" w:ascii="仿宋_GB2312" w:eastAsia="仿宋_GB2312"/>
          <w:sz w:val="32"/>
          <w:szCs w:val="32"/>
        </w:rPr>
        <w:t>氧化铝,于2012年1月投入试生产,采用技术先进、低耗高效的管道化溶出拜尔法工艺,产品为一级品冶金级砂状氧化铝;遵义铝业电解铝片区，历经四期建设，目前生产规模为36万</w:t>
      </w:r>
      <w:r>
        <w:rPr>
          <w:rFonts w:hint="eastAsia" w:ascii="仿宋_GB2312" w:eastAsia="仿宋_GB2312"/>
          <w:sz w:val="32"/>
          <w:szCs w:val="32"/>
          <w:lang w:eastAsia="zh-CN"/>
        </w:rPr>
        <w:t>吨</w:t>
      </w:r>
      <w:r>
        <w:rPr>
          <w:rFonts w:hint="eastAsia" w:ascii="仿宋_GB2312" w:eastAsia="仿宋_GB2312"/>
          <w:sz w:val="32"/>
          <w:szCs w:val="32"/>
        </w:rPr>
        <w:t>/</w:t>
      </w:r>
      <w:r>
        <w:rPr>
          <w:rFonts w:hint="eastAsia" w:ascii="仿宋_GB2312" w:eastAsia="仿宋_GB2312"/>
          <w:sz w:val="32"/>
          <w:szCs w:val="32"/>
          <w:lang w:eastAsia="zh-CN"/>
        </w:rPr>
        <w:t>年</w:t>
      </w:r>
      <w:r>
        <w:rPr>
          <w:rFonts w:hint="eastAsia" w:ascii="仿宋_GB2312" w:eastAsia="仿宋_GB2312"/>
          <w:sz w:val="32"/>
          <w:szCs w:val="32"/>
        </w:rPr>
        <w:t>电解铝，包括一条11万</w:t>
      </w:r>
      <w:r>
        <w:rPr>
          <w:rFonts w:hint="eastAsia" w:ascii="仿宋_GB2312" w:eastAsia="仿宋_GB2312"/>
          <w:sz w:val="32"/>
          <w:szCs w:val="32"/>
          <w:lang w:eastAsia="zh-CN"/>
        </w:rPr>
        <w:t>吨</w:t>
      </w:r>
      <w:r>
        <w:rPr>
          <w:rFonts w:hint="eastAsia" w:ascii="仿宋_GB2312" w:eastAsia="仿宋_GB2312"/>
          <w:sz w:val="32"/>
          <w:szCs w:val="32"/>
        </w:rPr>
        <w:t>/</w:t>
      </w:r>
      <w:r>
        <w:rPr>
          <w:rFonts w:hint="eastAsia" w:ascii="仿宋_GB2312" w:eastAsia="仿宋_GB2312"/>
          <w:sz w:val="32"/>
          <w:szCs w:val="32"/>
          <w:lang w:eastAsia="zh-CN"/>
        </w:rPr>
        <w:t>年</w:t>
      </w:r>
      <w:r>
        <w:rPr>
          <w:rFonts w:hint="eastAsia" w:ascii="仿宋_GB2312" w:eastAsia="仿宋_GB2312"/>
          <w:sz w:val="32"/>
          <w:szCs w:val="32"/>
        </w:rPr>
        <w:t>的200kA（212台）预焙槽生产线和两条350kA（共288台槽，共25万</w:t>
      </w:r>
      <w:r>
        <w:rPr>
          <w:rFonts w:hint="eastAsia" w:ascii="仿宋_GB2312" w:eastAsia="仿宋_GB2312"/>
          <w:sz w:val="32"/>
          <w:szCs w:val="32"/>
          <w:lang w:eastAsia="zh-CN"/>
        </w:rPr>
        <w:t>吨</w:t>
      </w:r>
      <w:r>
        <w:rPr>
          <w:rFonts w:hint="eastAsia" w:ascii="仿宋_GB2312" w:eastAsia="仿宋_GB2312"/>
          <w:sz w:val="32"/>
          <w:szCs w:val="32"/>
        </w:rPr>
        <w:t>/</w:t>
      </w:r>
      <w:r>
        <w:rPr>
          <w:rFonts w:hint="eastAsia" w:ascii="仿宋_GB2312" w:eastAsia="仿宋_GB2312"/>
          <w:sz w:val="32"/>
          <w:szCs w:val="32"/>
          <w:lang w:eastAsia="zh-CN"/>
        </w:rPr>
        <w:t>年</w:t>
      </w:r>
      <w:r>
        <w:rPr>
          <w:rFonts w:hint="eastAsia" w:ascii="仿宋_GB2312" w:eastAsia="仿宋_GB2312"/>
          <w:sz w:val="32"/>
          <w:szCs w:val="32"/>
        </w:rPr>
        <w:t>）预焙槽生产线。</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二、背景</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eastAsia="zh-CN"/>
        </w:rPr>
        <w:t>电解</w:t>
      </w:r>
      <w:r>
        <w:rPr>
          <w:rFonts w:hint="eastAsia" w:ascii="仿宋_GB2312" w:eastAsia="仿宋_GB2312"/>
          <w:sz w:val="32"/>
          <w:szCs w:val="32"/>
        </w:rPr>
        <w:t>铝</w:t>
      </w:r>
      <w:r>
        <w:rPr>
          <w:rFonts w:hint="eastAsia" w:ascii="仿宋_GB2312" w:eastAsia="仿宋_GB2312"/>
          <w:sz w:val="32"/>
          <w:szCs w:val="32"/>
          <w:lang w:eastAsia="zh-CN"/>
        </w:rPr>
        <w:t>在</w:t>
      </w:r>
      <w:r>
        <w:rPr>
          <w:rFonts w:hint="eastAsia" w:ascii="仿宋_GB2312" w:eastAsia="仿宋_GB2312"/>
          <w:sz w:val="32"/>
          <w:szCs w:val="32"/>
        </w:rPr>
        <w:t>生产过程中消耗大量资源能源，产生并排放出大量的含硫、含氟化物及粉尘等污染物质的烟气，不仅破坏大气环境质量，还对员工及周围居民的身心健康造成危害，同时在生产过程中还使用了有毒有害原料如氟化盐、冰晶石、生石灰、碱等，企业承受着较大的环境压力和经济压力，因此积极开展清洁生产审核是实现企业可持续发展战略的需要，是控制环境污染的有效手段，同时也是体现企业社会责任的需要。</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三、方案</w:t>
      </w:r>
    </w:p>
    <w:p>
      <w:pPr>
        <w:spacing w:line="560" w:lineRule="exact"/>
        <w:ind w:firstLine="640" w:firstLineChars="200"/>
        <w:rPr>
          <w:rFonts w:ascii="仿宋_GB2312" w:eastAsia="仿宋_GB2312"/>
          <w:sz w:val="32"/>
          <w:szCs w:val="32"/>
        </w:rPr>
      </w:pPr>
      <w:r>
        <w:rPr>
          <w:rFonts w:hint="eastAsia" w:ascii="仿宋_GB2312" w:eastAsia="仿宋_GB2312"/>
          <w:sz w:val="32"/>
          <w:szCs w:val="32"/>
          <w:highlight w:val="none"/>
        </w:rPr>
        <w:t>1.提高领导重视</w:t>
      </w:r>
      <w:r>
        <w:rPr>
          <w:rFonts w:hint="eastAsia" w:ascii="仿宋_GB2312" w:eastAsia="仿宋_GB2312"/>
          <w:sz w:val="32"/>
          <w:szCs w:val="32"/>
        </w:rPr>
        <w:t>程度</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企业清洁生产工作的好坏，取决于企业高层领导的重视与支持程度。遵义铝业高度重视清洁生产审核工作，2019年</w:t>
      </w:r>
      <w:r>
        <w:rPr>
          <w:rFonts w:hint="eastAsia" w:ascii="仿宋_GB2312" w:eastAsia="仿宋_GB2312"/>
          <w:sz w:val="32"/>
          <w:szCs w:val="32"/>
          <w:lang w:eastAsia="zh-CN"/>
        </w:rPr>
        <w:t>对</w:t>
      </w:r>
      <w:r>
        <w:rPr>
          <w:rFonts w:hint="eastAsia" w:ascii="仿宋_GB2312" w:eastAsia="仿宋_GB2312"/>
          <w:sz w:val="32"/>
          <w:szCs w:val="32"/>
        </w:rPr>
        <w:t>2018年度清洁生产审核工作</w:t>
      </w:r>
      <w:r>
        <w:rPr>
          <w:rFonts w:hint="eastAsia" w:ascii="仿宋_GB2312" w:eastAsia="仿宋_GB2312"/>
          <w:sz w:val="32"/>
          <w:szCs w:val="32"/>
          <w:lang w:eastAsia="zh-CN"/>
        </w:rPr>
        <w:t>进行立项，</w:t>
      </w:r>
      <w:r>
        <w:rPr>
          <w:rFonts w:hint="eastAsia" w:ascii="仿宋_GB2312" w:eastAsia="仿宋_GB2312"/>
          <w:sz w:val="32"/>
          <w:szCs w:val="32"/>
        </w:rPr>
        <w:t>积极组织有关人员认真学习了国家、贵州省、遵义市环保部门有关文件精神，召开专题会议部署了相关工作。在向社会遴选清洁生产审核咨询机构工作的同时，于2019年2月20日筹建了以公司董事长为组长的审核领导小组和以公司分管副总经理为组长的审核工作小组，并以公司发文的形式明确了小组的成员名单和小组成员的职责及分工。</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2. 提升全员清洁生产意识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由于清洁生产是一种新思维、新理念，因此必须使每个员工都清楚的认识和理解清洁生产并积极参与。在进行清洁生产审核工作时，遵义铝业邀清洁审稿编制负责人在公司远程会议室内对来自两厂部门领导和一线员工进行清洁生产培训，使企业领导和员工正确认识清洁生产的理念及清洁生产审核的目的、意义，了解清洁生产审核的内容、要求及工作步骤等程序，积极参与，为清洁生产审核工作的全面开展奠定坚实的基础。对企业全体员工按审核阶段进行了6736人次的培训，</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3.稳步开展清洁审核</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根据《清洁生产促进法》《清洁生产审核办法》和国家环保部、贵州省环保厅关于清洁生产的有关规定以及《贵州省环境保护厅关于公布贵州省2018年强制性清洁生产审核企业名单的通知》(黔环通〔2018〕256号)的要求，遵义铝业于2019年2月份通过竞谈形式确定贵州大学作为企业洁生产审核工作的咨询机构。</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遵义铝业清洁生产审核范围为遵义铝业铝土矿山，氧化铝生产系统、赤泥堆场、灰渣堆场及其配套工程，电解铝生产系统、灰渣堆场及其配套工程</w:t>
      </w:r>
      <w:r>
        <w:rPr>
          <w:rFonts w:hint="eastAsia" w:ascii="仿宋_GB2312" w:eastAsia="仿宋_GB2312"/>
          <w:sz w:val="32"/>
          <w:szCs w:val="32"/>
          <w:lang w:eastAsia="zh-CN"/>
        </w:rPr>
        <w:t>。</w:t>
      </w:r>
      <w:r>
        <w:rPr>
          <w:rFonts w:hint="eastAsia" w:ascii="仿宋_GB2312" w:eastAsia="仿宋_GB2312"/>
          <w:sz w:val="32"/>
          <w:szCs w:val="32"/>
        </w:rPr>
        <w:t>经过预审核阶段的系统分析，选取氧化铝厂、电解二厂和电解三厂作为本轮清洁生产审核重点，确定了清洁生产审核目标，制定了工作计划</w:t>
      </w:r>
      <w:r>
        <w:rPr>
          <w:rFonts w:hint="eastAsia" w:ascii="仿宋_GB2312" w:eastAsia="仿宋_GB2312"/>
          <w:sz w:val="32"/>
          <w:szCs w:val="32"/>
          <w:lang w:eastAsia="zh-CN"/>
        </w:rPr>
        <w:t>，</w:t>
      </w:r>
      <w:r>
        <w:rPr>
          <w:rFonts w:hint="eastAsia" w:ascii="仿宋_GB2312" w:eastAsia="仿宋_GB2312"/>
          <w:sz w:val="32"/>
          <w:szCs w:val="32"/>
        </w:rPr>
        <w:t>审核小组对遵义铝业氧化铝生产系统、电解铝生产系统按清洁生产审核方法和步骤开展，通过全公司现场考察，收集生产报表、设备台帐、节能技改等相关资料；发放“企业清洁生产障碍调查表”和“清洁生产合理化建议表”</w:t>
      </w:r>
      <w:r>
        <w:rPr>
          <w:rFonts w:hint="eastAsia" w:ascii="仿宋_GB2312" w:eastAsia="仿宋_GB2312"/>
          <w:sz w:val="32"/>
          <w:szCs w:val="32"/>
          <w:lang w:eastAsia="zh-CN"/>
        </w:rPr>
        <w:t>，</w:t>
      </w:r>
      <w:r>
        <w:rPr>
          <w:rFonts w:hint="eastAsia" w:ascii="仿宋_GB2312" w:eastAsia="仿宋_GB2312"/>
          <w:sz w:val="32"/>
          <w:szCs w:val="32"/>
        </w:rPr>
        <w:t>审核小组对审核重点通过实测生产数据，建立物料、主要组分、有害成分、水及电的平衡关系，按相关清洁生产标准对氧化铝、电解铝清洁生产定性、定量指标进行了计算及分析，找出物耗高、能耗高、污染重的部位及环节，产生了28个方案，其中无/低费方案23项（占82.14%），中/高费方案5个（占17.56%）。</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四、成效</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截</w:t>
      </w:r>
      <w:r>
        <w:rPr>
          <w:rFonts w:hint="eastAsia" w:ascii="仿宋_GB2312" w:eastAsia="仿宋_GB2312"/>
          <w:sz w:val="32"/>
          <w:szCs w:val="32"/>
          <w:lang w:eastAsia="zh-CN"/>
        </w:rPr>
        <w:t>至</w:t>
      </w:r>
      <w:r>
        <w:rPr>
          <w:rFonts w:hint="eastAsia" w:ascii="仿宋_GB2312" w:eastAsia="仿宋_GB2312"/>
          <w:sz w:val="32"/>
          <w:szCs w:val="32"/>
        </w:rPr>
        <w:t>2019年8月，全部28项清洁生产方案均已实施完成，共计投资2823.7万元。企业清洁生产审核报告及验收报告也已获得通过。</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本轮清洁生产方案的实施对遵义铝业提高清洁生产水平起到了很好的作用，企业取得的环境效益和经济效益均非常明显，企业生产现场基本杜绝跑、冒、滴、漏等现象，在能源节约、减少废弃物排放及改善生产环境方面收到了很好的效果，据统计核算年节电3508.82万</w:t>
      </w:r>
      <w:r>
        <w:rPr>
          <w:rFonts w:hint="eastAsia" w:ascii="仿宋_GB2312" w:eastAsia="仿宋_GB2312"/>
          <w:sz w:val="32"/>
          <w:szCs w:val="32"/>
          <w:lang w:eastAsia="zh-CN"/>
        </w:rPr>
        <w:t>千瓦时</w:t>
      </w:r>
      <w:r>
        <w:rPr>
          <w:rFonts w:hint="eastAsia" w:ascii="仿宋_GB2312" w:eastAsia="仿宋_GB2312"/>
          <w:sz w:val="32"/>
          <w:szCs w:val="32"/>
        </w:rPr>
        <w:t>，节煤15161.87</w:t>
      </w:r>
      <w:r>
        <w:rPr>
          <w:rFonts w:hint="eastAsia" w:ascii="仿宋_GB2312" w:eastAsia="仿宋_GB2312"/>
          <w:sz w:val="32"/>
          <w:szCs w:val="32"/>
          <w:lang w:eastAsia="zh-CN"/>
        </w:rPr>
        <w:t>吨</w:t>
      </w:r>
      <w:r>
        <w:rPr>
          <w:rFonts w:hint="eastAsia" w:ascii="仿宋_GB2312" w:eastAsia="仿宋_GB2312"/>
          <w:sz w:val="32"/>
          <w:szCs w:val="32"/>
        </w:rPr>
        <w:t>，节汽油10.11</w:t>
      </w:r>
      <w:r>
        <w:rPr>
          <w:rFonts w:hint="eastAsia" w:ascii="仿宋_GB2312" w:eastAsia="仿宋_GB2312"/>
          <w:sz w:val="32"/>
          <w:szCs w:val="32"/>
          <w:lang w:eastAsia="zh-CN"/>
        </w:rPr>
        <w:t>吨</w:t>
      </w:r>
      <w:r>
        <w:rPr>
          <w:rFonts w:hint="eastAsia" w:ascii="仿宋_GB2312" w:eastAsia="仿宋_GB2312"/>
          <w:sz w:val="32"/>
          <w:szCs w:val="32"/>
        </w:rPr>
        <w:t>，节天然气28.18万</w:t>
      </w:r>
      <w:r>
        <w:rPr>
          <w:rFonts w:hint="eastAsia" w:ascii="仿宋_GB2312" w:eastAsia="仿宋_GB2312"/>
          <w:sz w:val="32"/>
          <w:szCs w:val="32"/>
          <w:lang w:eastAsia="zh-CN"/>
        </w:rPr>
        <w:t>立方</w:t>
      </w:r>
      <w:r>
        <w:rPr>
          <w:rFonts w:hint="eastAsia" w:ascii="仿宋_GB2312" w:eastAsia="仿宋_GB2312"/>
          <w:sz w:val="32"/>
          <w:szCs w:val="32"/>
        </w:rPr>
        <w:t>，节约新鲜水8.73万</w:t>
      </w:r>
      <w:r>
        <w:rPr>
          <w:rFonts w:hint="eastAsia" w:ascii="仿宋_GB2312" w:eastAsia="仿宋_GB2312"/>
          <w:sz w:val="32"/>
          <w:szCs w:val="32"/>
          <w:lang w:eastAsia="zh-CN"/>
        </w:rPr>
        <w:t>吨</w:t>
      </w:r>
      <w:r>
        <w:rPr>
          <w:rFonts w:hint="eastAsia" w:ascii="仿宋_GB2312" w:eastAsia="仿宋_GB2312"/>
          <w:sz w:val="32"/>
          <w:szCs w:val="32"/>
        </w:rPr>
        <w:t>；年减少二氧化硫排放量47.19</w:t>
      </w:r>
      <w:r>
        <w:rPr>
          <w:rFonts w:hint="eastAsia" w:ascii="仿宋_GB2312" w:eastAsia="仿宋_GB2312"/>
          <w:sz w:val="32"/>
          <w:szCs w:val="32"/>
          <w:lang w:eastAsia="zh-CN"/>
        </w:rPr>
        <w:t>吨</w:t>
      </w:r>
      <w:r>
        <w:rPr>
          <w:rFonts w:hint="eastAsia" w:ascii="仿宋_GB2312" w:eastAsia="仿宋_GB2312"/>
          <w:sz w:val="32"/>
          <w:szCs w:val="32"/>
        </w:rPr>
        <w:t>，减少氮氧化物排放量4.08</w:t>
      </w:r>
      <w:r>
        <w:rPr>
          <w:rFonts w:hint="eastAsia" w:ascii="仿宋_GB2312" w:eastAsia="仿宋_GB2312"/>
          <w:sz w:val="32"/>
          <w:szCs w:val="32"/>
          <w:lang w:eastAsia="zh-CN"/>
        </w:rPr>
        <w:t>吨</w:t>
      </w:r>
      <w:r>
        <w:rPr>
          <w:rFonts w:hint="eastAsia" w:ascii="仿宋_GB2312" w:eastAsia="仿宋_GB2312"/>
          <w:sz w:val="32"/>
          <w:szCs w:val="32"/>
        </w:rPr>
        <w:t>，减少颗粒物排放量2.18</w:t>
      </w:r>
      <w:r>
        <w:rPr>
          <w:rFonts w:hint="eastAsia" w:ascii="仿宋_GB2312" w:eastAsia="仿宋_GB2312"/>
          <w:sz w:val="32"/>
          <w:szCs w:val="32"/>
          <w:lang w:eastAsia="zh-CN"/>
        </w:rPr>
        <w:t>吨</w:t>
      </w:r>
      <w:r>
        <w:rPr>
          <w:rFonts w:hint="eastAsia" w:ascii="仿宋_GB2312" w:eastAsia="仿宋_GB2312"/>
          <w:sz w:val="32"/>
          <w:szCs w:val="32"/>
        </w:rPr>
        <w:t>，减少氟化物排放量4.2</w:t>
      </w:r>
      <w:r>
        <w:rPr>
          <w:rFonts w:hint="eastAsia" w:ascii="仿宋_GB2312" w:eastAsia="仿宋_GB2312"/>
          <w:sz w:val="32"/>
          <w:szCs w:val="32"/>
          <w:lang w:eastAsia="zh-CN"/>
        </w:rPr>
        <w:t>吨</w:t>
      </w:r>
      <w:r>
        <w:rPr>
          <w:rFonts w:hint="eastAsia" w:ascii="仿宋_GB2312" w:eastAsia="仿宋_GB2312"/>
          <w:sz w:val="32"/>
          <w:szCs w:val="32"/>
        </w:rPr>
        <w:t>。年产生总的经济效益3754.24万元，最终达到了“节能、降耗、减污、增效”的目的（见表1-表4）。</w:t>
      </w:r>
    </w:p>
    <w:p>
      <w:pPr>
        <w:spacing w:line="560" w:lineRule="exact"/>
        <w:jc w:val="center"/>
        <w:rPr>
          <w:rFonts w:ascii="楷体_GB2312" w:eastAsia="楷体_GB2312"/>
          <w:sz w:val="32"/>
          <w:szCs w:val="32"/>
        </w:rPr>
      </w:pPr>
      <w:r>
        <w:rPr>
          <w:rFonts w:hint="eastAsia" w:ascii="仿宋_GB2312" w:eastAsia="仿宋_GB2312"/>
          <w:sz w:val="32"/>
          <w:szCs w:val="32"/>
        </w:rPr>
        <w:t>清洁生产方案</w:t>
      </w:r>
      <w:r>
        <w:rPr>
          <w:rFonts w:hint="eastAsia" w:ascii="楷体_GB2312" w:eastAsia="楷体_GB2312"/>
          <w:sz w:val="32"/>
          <w:szCs w:val="32"/>
        </w:rPr>
        <w:t>成效表</w:t>
      </w:r>
    </w:p>
    <w:tbl>
      <w:tblPr>
        <w:tblStyle w:val="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2257"/>
        <w:gridCol w:w="936"/>
        <w:gridCol w:w="929"/>
        <w:gridCol w:w="908"/>
        <w:gridCol w:w="908"/>
        <w:gridCol w:w="1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3050" w:type="dxa"/>
            <w:gridSpan w:val="2"/>
            <w:vMerge w:val="restart"/>
            <w:vAlign w:val="center"/>
          </w:tcPr>
          <w:p>
            <w:pPr>
              <w:widowControl/>
              <w:spacing w:line="360" w:lineRule="atLeast"/>
              <w:jc w:val="center"/>
              <w:rPr>
                <w:b/>
                <w:szCs w:val="21"/>
              </w:rPr>
            </w:pPr>
            <w:bookmarkStart w:id="0" w:name="_Hlk27942328"/>
            <w:r>
              <w:rPr>
                <w:b/>
                <w:szCs w:val="21"/>
              </w:rPr>
              <w:t>项目</w:t>
            </w:r>
          </w:p>
        </w:tc>
        <w:tc>
          <w:tcPr>
            <w:tcW w:w="1865" w:type="dxa"/>
            <w:gridSpan w:val="2"/>
            <w:vAlign w:val="center"/>
          </w:tcPr>
          <w:p>
            <w:pPr>
              <w:widowControl/>
              <w:spacing w:line="360" w:lineRule="atLeast"/>
              <w:jc w:val="center"/>
              <w:rPr>
                <w:b/>
                <w:szCs w:val="21"/>
              </w:rPr>
            </w:pPr>
            <w:r>
              <w:rPr>
                <w:b/>
                <w:szCs w:val="21"/>
              </w:rPr>
              <w:t>预计效果</w:t>
            </w:r>
          </w:p>
        </w:tc>
        <w:tc>
          <w:tcPr>
            <w:tcW w:w="1816" w:type="dxa"/>
            <w:gridSpan w:val="2"/>
            <w:vAlign w:val="center"/>
          </w:tcPr>
          <w:p>
            <w:pPr>
              <w:widowControl/>
              <w:spacing w:line="360" w:lineRule="atLeast"/>
              <w:jc w:val="center"/>
              <w:rPr>
                <w:b/>
                <w:szCs w:val="21"/>
              </w:rPr>
            </w:pPr>
            <w:r>
              <w:rPr>
                <w:b/>
                <w:szCs w:val="21"/>
              </w:rPr>
              <w:t>实际效果</w:t>
            </w:r>
          </w:p>
        </w:tc>
        <w:tc>
          <w:tcPr>
            <w:tcW w:w="1791" w:type="dxa"/>
            <w:vMerge w:val="restart"/>
            <w:vAlign w:val="center"/>
          </w:tcPr>
          <w:p>
            <w:pPr>
              <w:widowControl/>
              <w:spacing w:line="360" w:lineRule="atLeast"/>
              <w:jc w:val="center"/>
              <w:rPr>
                <w:b/>
                <w:szCs w:val="21"/>
              </w:rPr>
            </w:pPr>
            <w:r>
              <w:rPr>
                <w:b/>
                <w:szCs w:val="21"/>
              </w:rPr>
              <w:t>是否达到</w:t>
            </w:r>
          </w:p>
          <w:p>
            <w:pPr>
              <w:widowControl/>
              <w:spacing w:line="360" w:lineRule="atLeast"/>
              <w:jc w:val="center"/>
              <w:rPr>
                <w:b/>
                <w:szCs w:val="21"/>
              </w:rPr>
            </w:pPr>
            <w:r>
              <w:rPr>
                <w:b/>
                <w:szCs w:val="21"/>
              </w:rPr>
              <w:t>预期效果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3050" w:type="dxa"/>
            <w:gridSpan w:val="2"/>
            <w:vMerge w:val="continue"/>
            <w:vAlign w:val="center"/>
          </w:tcPr>
          <w:p>
            <w:pPr>
              <w:widowControl/>
              <w:spacing w:line="360" w:lineRule="atLeast"/>
              <w:jc w:val="center"/>
              <w:rPr>
                <w:szCs w:val="21"/>
              </w:rPr>
            </w:pPr>
          </w:p>
        </w:tc>
        <w:tc>
          <w:tcPr>
            <w:tcW w:w="936" w:type="dxa"/>
            <w:vAlign w:val="center"/>
          </w:tcPr>
          <w:p>
            <w:pPr>
              <w:widowControl/>
              <w:spacing w:line="360" w:lineRule="atLeast"/>
              <w:jc w:val="center"/>
              <w:rPr>
                <w:szCs w:val="21"/>
              </w:rPr>
            </w:pPr>
            <w:r>
              <w:rPr>
                <w:szCs w:val="21"/>
              </w:rPr>
              <w:t>无/低</w:t>
            </w:r>
          </w:p>
          <w:p>
            <w:pPr>
              <w:widowControl/>
              <w:spacing w:line="360" w:lineRule="atLeast"/>
              <w:jc w:val="center"/>
              <w:rPr>
                <w:szCs w:val="21"/>
              </w:rPr>
            </w:pPr>
            <w:r>
              <w:rPr>
                <w:szCs w:val="21"/>
              </w:rPr>
              <w:t>费方案</w:t>
            </w:r>
          </w:p>
        </w:tc>
        <w:tc>
          <w:tcPr>
            <w:tcW w:w="929" w:type="dxa"/>
            <w:vAlign w:val="center"/>
          </w:tcPr>
          <w:p>
            <w:pPr>
              <w:widowControl/>
              <w:spacing w:line="360" w:lineRule="atLeast"/>
              <w:jc w:val="center"/>
              <w:rPr>
                <w:szCs w:val="21"/>
              </w:rPr>
            </w:pPr>
            <w:r>
              <w:rPr>
                <w:szCs w:val="21"/>
              </w:rPr>
              <w:t>中/高</w:t>
            </w:r>
          </w:p>
          <w:p>
            <w:pPr>
              <w:widowControl/>
              <w:spacing w:line="360" w:lineRule="atLeast"/>
              <w:jc w:val="center"/>
              <w:rPr>
                <w:szCs w:val="21"/>
              </w:rPr>
            </w:pPr>
            <w:r>
              <w:rPr>
                <w:szCs w:val="21"/>
              </w:rPr>
              <w:t>费方案</w:t>
            </w:r>
          </w:p>
        </w:tc>
        <w:tc>
          <w:tcPr>
            <w:tcW w:w="908" w:type="dxa"/>
            <w:vAlign w:val="center"/>
          </w:tcPr>
          <w:p>
            <w:pPr>
              <w:widowControl/>
              <w:spacing w:line="360" w:lineRule="atLeast"/>
              <w:jc w:val="center"/>
              <w:rPr>
                <w:szCs w:val="21"/>
              </w:rPr>
            </w:pPr>
            <w:r>
              <w:rPr>
                <w:szCs w:val="21"/>
              </w:rPr>
              <w:t>无/低费方案</w:t>
            </w:r>
          </w:p>
        </w:tc>
        <w:tc>
          <w:tcPr>
            <w:tcW w:w="908" w:type="dxa"/>
            <w:vAlign w:val="center"/>
          </w:tcPr>
          <w:p>
            <w:pPr>
              <w:widowControl/>
              <w:spacing w:line="360" w:lineRule="atLeast"/>
              <w:jc w:val="center"/>
              <w:rPr>
                <w:szCs w:val="21"/>
              </w:rPr>
            </w:pPr>
            <w:r>
              <w:rPr>
                <w:szCs w:val="21"/>
              </w:rPr>
              <w:t>中/高费方案</w:t>
            </w:r>
          </w:p>
        </w:tc>
        <w:tc>
          <w:tcPr>
            <w:tcW w:w="1791" w:type="dxa"/>
            <w:vMerge w:val="continue"/>
            <w:vAlign w:val="center"/>
          </w:tcPr>
          <w:p>
            <w:pPr>
              <w:widowControl/>
              <w:spacing w:line="360" w:lineRule="atLeas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793" w:type="dxa"/>
            <w:vMerge w:val="restart"/>
            <w:vAlign w:val="center"/>
          </w:tcPr>
          <w:p>
            <w:pPr>
              <w:widowControl/>
              <w:spacing w:line="360" w:lineRule="atLeast"/>
              <w:jc w:val="center"/>
              <w:rPr>
                <w:szCs w:val="21"/>
              </w:rPr>
            </w:pPr>
            <w:r>
              <w:rPr>
                <w:szCs w:val="21"/>
              </w:rPr>
              <w:t>环境效益</w:t>
            </w:r>
          </w:p>
        </w:tc>
        <w:tc>
          <w:tcPr>
            <w:tcW w:w="2257" w:type="dxa"/>
            <w:vAlign w:val="center"/>
          </w:tcPr>
          <w:p>
            <w:pPr>
              <w:widowControl/>
              <w:spacing w:line="360" w:lineRule="atLeast"/>
              <w:jc w:val="center"/>
              <w:rPr>
                <w:szCs w:val="21"/>
              </w:rPr>
            </w:pPr>
            <w:r>
              <w:rPr>
                <w:szCs w:val="21"/>
              </w:rPr>
              <w:t>节标煤（t/a）</w:t>
            </w:r>
          </w:p>
        </w:tc>
        <w:tc>
          <w:tcPr>
            <w:tcW w:w="936" w:type="dxa"/>
            <w:vAlign w:val="center"/>
          </w:tcPr>
          <w:p>
            <w:pPr>
              <w:widowControl/>
              <w:spacing w:line="360" w:lineRule="atLeast"/>
              <w:jc w:val="center"/>
              <w:rPr>
                <w:szCs w:val="21"/>
              </w:rPr>
            </w:pPr>
            <w:r>
              <w:rPr>
                <w:szCs w:val="21"/>
              </w:rPr>
              <w:t>6515.6</w:t>
            </w:r>
          </w:p>
        </w:tc>
        <w:tc>
          <w:tcPr>
            <w:tcW w:w="929" w:type="dxa"/>
            <w:vAlign w:val="center"/>
          </w:tcPr>
          <w:p>
            <w:pPr>
              <w:widowControl/>
              <w:spacing w:line="360" w:lineRule="atLeast"/>
              <w:jc w:val="center"/>
              <w:rPr>
                <w:szCs w:val="21"/>
              </w:rPr>
            </w:pPr>
            <w:r>
              <w:rPr>
                <w:rFonts w:hint="eastAsia"/>
                <w:szCs w:val="21"/>
              </w:rPr>
              <w:t>2102.86</w:t>
            </w:r>
          </w:p>
        </w:tc>
        <w:tc>
          <w:tcPr>
            <w:tcW w:w="908" w:type="dxa"/>
            <w:shd w:val="clear" w:color="000000" w:fill="FFFFFF"/>
            <w:vAlign w:val="center"/>
          </w:tcPr>
          <w:p>
            <w:pPr>
              <w:spacing w:line="360" w:lineRule="atLeast"/>
              <w:jc w:val="center"/>
              <w:rPr>
                <w:szCs w:val="21"/>
              </w:rPr>
            </w:pPr>
            <w:r>
              <w:rPr>
                <w:color w:val="000000"/>
                <w:szCs w:val="21"/>
              </w:rPr>
              <w:t>8873.00</w:t>
            </w:r>
          </w:p>
        </w:tc>
        <w:tc>
          <w:tcPr>
            <w:tcW w:w="908" w:type="dxa"/>
            <w:shd w:val="clear" w:color="000000" w:fill="FFFFFF"/>
            <w:vAlign w:val="center"/>
          </w:tcPr>
          <w:p>
            <w:pPr>
              <w:spacing w:line="360" w:lineRule="atLeast"/>
              <w:jc w:val="center"/>
              <w:rPr>
                <w:szCs w:val="21"/>
              </w:rPr>
            </w:pPr>
            <w:r>
              <w:rPr>
                <w:color w:val="000000"/>
                <w:szCs w:val="21"/>
              </w:rPr>
              <w:t>6288.87</w:t>
            </w:r>
          </w:p>
        </w:tc>
        <w:tc>
          <w:tcPr>
            <w:tcW w:w="1791" w:type="dxa"/>
            <w:vAlign w:val="center"/>
          </w:tcPr>
          <w:p>
            <w:pPr>
              <w:widowControl/>
              <w:spacing w:line="360" w:lineRule="atLeast"/>
              <w:jc w:val="center"/>
              <w:rPr>
                <w:szCs w:val="21"/>
              </w:rPr>
            </w:pPr>
            <w:r>
              <w:rPr>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793" w:type="dxa"/>
            <w:vMerge w:val="continue"/>
            <w:vAlign w:val="center"/>
          </w:tcPr>
          <w:p>
            <w:pPr>
              <w:widowControl/>
              <w:spacing w:line="360" w:lineRule="atLeast"/>
              <w:jc w:val="center"/>
              <w:rPr>
                <w:szCs w:val="21"/>
              </w:rPr>
            </w:pPr>
          </w:p>
        </w:tc>
        <w:tc>
          <w:tcPr>
            <w:tcW w:w="2257" w:type="dxa"/>
            <w:vAlign w:val="center"/>
          </w:tcPr>
          <w:p>
            <w:pPr>
              <w:widowControl/>
              <w:spacing w:line="360" w:lineRule="atLeast"/>
              <w:jc w:val="center"/>
              <w:rPr>
                <w:szCs w:val="21"/>
              </w:rPr>
            </w:pPr>
            <w:r>
              <w:rPr>
                <w:szCs w:val="21"/>
              </w:rPr>
              <w:t>节电（万</w:t>
            </w:r>
            <w:r>
              <w:rPr>
                <w:rFonts w:hint="eastAsia"/>
                <w:szCs w:val="21"/>
              </w:rPr>
              <w:t>kW</w:t>
            </w:r>
            <w:r>
              <w:rPr>
                <w:rFonts w:hint="eastAsia" w:ascii="Gungsuh" w:hAnsi="Gungsuh" w:eastAsia="Gungsuh"/>
                <w:szCs w:val="21"/>
              </w:rPr>
              <w:t>·</w:t>
            </w:r>
            <w:r>
              <w:rPr>
                <w:rFonts w:hint="eastAsia"/>
                <w:szCs w:val="21"/>
              </w:rPr>
              <w:t>h</w:t>
            </w:r>
            <w:r>
              <w:rPr>
                <w:szCs w:val="21"/>
              </w:rPr>
              <w:t>/a）</w:t>
            </w:r>
          </w:p>
        </w:tc>
        <w:tc>
          <w:tcPr>
            <w:tcW w:w="936" w:type="dxa"/>
            <w:vAlign w:val="center"/>
          </w:tcPr>
          <w:p>
            <w:pPr>
              <w:widowControl/>
              <w:spacing w:line="360" w:lineRule="atLeast"/>
              <w:jc w:val="center"/>
              <w:rPr>
                <w:szCs w:val="21"/>
              </w:rPr>
            </w:pPr>
            <w:r>
              <w:rPr>
                <w:szCs w:val="21"/>
              </w:rPr>
              <w:t>302.95</w:t>
            </w:r>
          </w:p>
        </w:tc>
        <w:tc>
          <w:tcPr>
            <w:tcW w:w="929" w:type="dxa"/>
            <w:vAlign w:val="center"/>
          </w:tcPr>
          <w:p>
            <w:pPr>
              <w:widowControl/>
              <w:spacing w:line="360" w:lineRule="atLeast"/>
              <w:jc w:val="center"/>
              <w:rPr>
                <w:szCs w:val="21"/>
              </w:rPr>
            </w:pPr>
            <w:r>
              <w:rPr>
                <w:rFonts w:hint="eastAsia"/>
                <w:szCs w:val="21"/>
              </w:rPr>
              <w:t>2611.94</w:t>
            </w:r>
          </w:p>
        </w:tc>
        <w:tc>
          <w:tcPr>
            <w:tcW w:w="908" w:type="dxa"/>
            <w:shd w:val="clear" w:color="000000" w:fill="FFFFFF"/>
            <w:vAlign w:val="center"/>
          </w:tcPr>
          <w:p>
            <w:pPr>
              <w:spacing w:line="360" w:lineRule="atLeast"/>
              <w:jc w:val="center"/>
              <w:rPr>
                <w:szCs w:val="21"/>
              </w:rPr>
            </w:pPr>
            <w:r>
              <w:rPr>
                <w:color w:val="000000"/>
                <w:szCs w:val="21"/>
              </w:rPr>
              <w:t>422.03</w:t>
            </w:r>
          </w:p>
        </w:tc>
        <w:tc>
          <w:tcPr>
            <w:tcW w:w="908" w:type="dxa"/>
            <w:shd w:val="clear" w:color="000000" w:fill="FFFFFF"/>
            <w:vAlign w:val="center"/>
          </w:tcPr>
          <w:p>
            <w:pPr>
              <w:spacing w:line="360" w:lineRule="atLeast"/>
              <w:jc w:val="center"/>
              <w:rPr>
                <w:szCs w:val="21"/>
              </w:rPr>
            </w:pPr>
            <w:r>
              <w:rPr>
                <w:color w:val="000000"/>
                <w:szCs w:val="21"/>
              </w:rPr>
              <w:t>3086</w:t>
            </w:r>
          </w:p>
        </w:tc>
        <w:tc>
          <w:tcPr>
            <w:tcW w:w="1791" w:type="dxa"/>
            <w:vAlign w:val="center"/>
          </w:tcPr>
          <w:p>
            <w:pPr>
              <w:spacing w:line="360" w:lineRule="atLeast"/>
              <w:jc w:val="center"/>
              <w:rPr>
                <w:szCs w:val="21"/>
              </w:rPr>
            </w:pPr>
            <w:r>
              <w:rPr>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793" w:type="dxa"/>
            <w:vMerge w:val="continue"/>
            <w:vAlign w:val="center"/>
          </w:tcPr>
          <w:p>
            <w:pPr>
              <w:widowControl/>
              <w:spacing w:line="360" w:lineRule="atLeast"/>
              <w:jc w:val="center"/>
              <w:rPr>
                <w:szCs w:val="21"/>
              </w:rPr>
            </w:pPr>
          </w:p>
        </w:tc>
        <w:tc>
          <w:tcPr>
            <w:tcW w:w="2257" w:type="dxa"/>
            <w:vAlign w:val="center"/>
          </w:tcPr>
          <w:p>
            <w:pPr>
              <w:widowControl/>
              <w:spacing w:line="360" w:lineRule="atLeast"/>
              <w:jc w:val="center"/>
              <w:rPr>
                <w:szCs w:val="21"/>
              </w:rPr>
            </w:pPr>
            <w:r>
              <w:rPr>
                <w:szCs w:val="21"/>
              </w:rPr>
              <w:t>节油（t/a）</w:t>
            </w:r>
          </w:p>
        </w:tc>
        <w:tc>
          <w:tcPr>
            <w:tcW w:w="936" w:type="dxa"/>
            <w:vAlign w:val="center"/>
          </w:tcPr>
          <w:p>
            <w:pPr>
              <w:widowControl/>
              <w:spacing w:line="360" w:lineRule="atLeast"/>
              <w:jc w:val="center"/>
              <w:rPr>
                <w:szCs w:val="21"/>
              </w:rPr>
            </w:pPr>
            <w:r>
              <w:rPr>
                <w:szCs w:val="21"/>
              </w:rPr>
              <w:t>10.11</w:t>
            </w:r>
          </w:p>
        </w:tc>
        <w:tc>
          <w:tcPr>
            <w:tcW w:w="929" w:type="dxa"/>
            <w:vAlign w:val="center"/>
          </w:tcPr>
          <w:p>
            <w:pPr>
              <w:widowControl/>
              <w:spacing w:line="360" w:lineRule="atLeast"/>
              <w:jc w:val="center"/>
              <w:rPr>
                <w:szCs w:val="21"/>
              </w:rPr>
            </w:pPr>
            <w:r>
              <w:rPr>
                <w:szCs w:val="21"/>
              </w:rPr>
              <w:t>-</w:t>
            </w:r>
          </w:p>
        </w:tc>
        <w:tc>
          <w:tcPr>
            <w:tcW w:w="908" w:type="dxa"/>
            <w:shd w:val="clear" w:color="000000" w:fill="FFFFFF"/>
            <w:vAlign w:val="center"/>
          </w:tcPr>
          <w:p>
            <w:pPr>
              <w:spacing w:line="360" w:lineRule="atLeast"/>
              <w:jc w:val="center"/>
              <w:rPr>
                <w:szCs w:val="21"/>
              </w:rPr>
            </w:pPr>
            <w:r>
              <w:rPr>
                <w:rFonts w:hint="eastAsia"/>
                <w:color w:val="000000"/>
                <w:szCs w:val="21"/>
              </w:rPr>
              <w:t>10.11</w:t>
            </w:r>
          </w:p>
        </w:tc>
        <w:tc>
          <w:tcPr>
            <w:tcW w:w="908" w:type="dxa"/>
            <w:shd w:val="clear" w:color="000000" w:fill="FFFFFF"/>
            <w:vAlign w:val="center"/>
          </w:tcPr>
          <w:p>
            <w:pPr>
              <w:spacing w:line="360" w:lineRule="atLeast"/>
              <w:jc w:val="center"/>
              <w:rPr>
                <w:szCs w:val="21"/>
              </w:rPr>
            </w:pPr>
          </w:p>
        </w:tc>
        <w:tc>
          <w:tcPr>
            <w:tcW w:w="1791" w:type="dxa"/>
            <w:vAlign w:val="center"/>
          </w:tcPr>
          <w:p>
            <w:pPr>
              <w:spacing w:line="360" w:lineRule="atLeast"/>
              <w:jc w:val="center"/>
              <w:rPr>
                <w:szCs w:val="21"/>
              </w:rPr>
            </w:pPr>
            <w:r>
              <w:rPr>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793" w:type="dxa"/>
            <w:vMerge w:val="continue"/>
            <w:vAlign w:val="center"/>
          </w:tcPr>
          <w:p>
            <w:pPr>
              <w:widowControl/>
              <w:spacing w:line="360" w:lineRule="atLeast"/>
              <w:jc w:val="center"/>
              <w:rPr>
                <w:szCs w:val="21"/>
              </w:rPr>
            </w:pPr>
          </w:p>
        </w:tc>
        <w:tc>
          <w:tcPr>
            <w:tcW w:w="2257" w:type="dxa"/>
            <w:vAlign w:val="center"/>
          </w:tcPr>
          <w:p>
            <w:pPr>
              <w:widowControl/>
              <w:spacing w:line="360" w:lineRule="atLeast"/>
              <w:jc w:val="center"/>
              <w:rPr>
                <w:szCs w:val="21"/>
              </w:rPr>
            </w:pPr>
            <w:r>
              <w:rPr>
                <w:szCs w:val="21"/>
              </w:rPr>
              <w:t>节天然气（万</w:t>
            </w:r>
            <w:r>
              <w:rPr>
                <w:rFonts w:hint="eastAsia"/>
                <w:szCs w:val="21"/>
              </w:rPr>
              <w:t>m</w:t>
            </w:r>
            <w:r>
              <w:rPr>
                <w:rFonts w:hint="eastAsia"/>
                <w:szCs w:val="21"/>
                <w:vertAlign w:val="superscript"/>
              </w:rPr>
              <w:t>3</w:t>
            </w:r>
            <w:r>
              <w:rPr>
                <w:szCs w:val="21"/>
              </w:rPr>
              <w:t>/a）</w:t>
            </w:r>
          </w:p>
        </w:tc>
        <w:tc>
          <w:tcPr>
            <w:tcW w:w="936" w:type="dxa"/>
            <w:vAlign w:val="center"/>
          </w:tcPr>
          <w:p>
            <w:pPr>
              <w:widowControl/>
              <w:spacing w:line="360" w:lineRule="atLeast"/>
              <w:jc w:val="center"/>
              <w:rPr>
                <w:szCs w:val="21"/>
              </w:rPr>
            </w:pPr>
            <w:r>
              <w:rPr>
                <w:rFonts w:hint="eastAsia"/>
                <w:szCs w:val="21"/>
              </w:rPr>
              <w:t>15.29</w:t>
            </w:r>
          </w:p>
        </w:tc>
        <w:tc>
          <w:tcPr>
            <w:tcW w:w="929" w:type="dxa"/>
            <w:vAlign w:val="center"/>
          </w:tcPr>
          <w:p>
            <w:pPr>
              <w:widowControl/>
              <w:spacing w:line="360" w:lineRule="atLeast"/>
              <w:jc w:val="center"/>
              <w:rPr>
                <w:szCs w:val="21"/>
              </w:rPr>
            </w:pPr>
            <w:r>
              <w:rPr>
                <w:szCs w:val="21"/>
              </w:rPr>
              <w:t>-</w:t>
            </w:r>
          </w:p>
        </w:tc>
        <w:tc>
          <w:tcPr>
            <w:tcW w:w="908" w:type="dxa"/>
            <w:shd w:val="clear" w:color="000000" w:fill="FFFFFF"/>
            <w:vAlign w:val="center"/>
          </w:tcPr>
          <w:p>
            <w:pPr>
              <w:spacing w:line="360" w:lineRule="atLeast"/>
              <w:jc w:val="center"/>
              <w:rPr>
                <w:szCs w:val="21"/>
              </w:rPr>
            </w:pPr>
            <w:r>
              <w:rPr>
                <w:rFonts w:hint="eastAsia"/>
                <w:color w:val="000000"/>
                <w:szCs w:val="21"/>
              </w:rPr>
              <w:t>28.18</w:t>
            </w:r>
          </w:p>
        </w:tc>
        <w:tc>
          <w:tcPr>
            <w:tcW w:w="908" w:type="dxa"/>
            <w:shd w:val="clear" w:color="000000" w:fill="FFFFFF"/>
            <w:vAlign w:val="center"/>
          </w:tcPr>
          <w:p>
            <w:pPr>
              <w:spacing w:line="360" w:lineRule="atLeast"/>
              <w:jc w:val="center"/>
              <w:rPr>
                <w:szCs w:val="21"/>
              </w:rPr>
            </w:pPr>
          </w:p>
        </w:tc>
        <w:tc>
          <w:tcPr>
            <w:tcW w:w="1791" w:type="dxa"/>
            <w:vAlign w:val="center"/>
          </w:tcPr>
          <w:p>
            <w:pPr>
              <w:spacing w:line="360" w:lineRule="atLeast"/>
              <w:jc w:val="center"/>
              <w:rPr>
                <w:szCs w:val="21"/>
              </w:rPr>
            </w:pPr>
            <w:r>
              <w:rPr>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793" w:type="dxa"/>
            <w:vMerge w:val="continue"/>
            <w:vAlign w:val="center"/>
          </w:tcPr>
          <w:p>
            <w:pPr>
              <w:widowControl/>
              <w:spacing w:line="360" w:lineRule="atLeast"/>
              <w:jc w:val="center"/>
              <w:rPr>
                <w:szCs w:val="21"/>
              </w:rPr>
            </w:pPr>
          </w:p>
        </w:tc>
        <w:tc>
          <w:tcPr>
            <w:tcW w:w="2257" w:type="dxa"/>
            <w:vAlign w:val="center"/>
          </w:tcPr>
          <w:p>
            <w:pPr>
              <w:widowControl/>
              <w:spacing w:line="360" w:lineRule="atLeast"/>
              <w:jc w:val="center"/>
              <w:rPr>
                <w:szCs w:val="21"/>
              </w:rPr>
            </w:pPr>
            <w:r>
              <w:rPr>
                <w:szCs w:val="21"/>
              </w:rPr>
              <w:t>节水（万t/a）</w:t>
            </w:r>
          </w:p>
        </w:tc>
        <w:tc>
          <w:tcPr>
            <w:tcW w:w="936" w:type="dxa"/>
            <w:vAlign w:val="center"/>
          </w:tcPr>
          <w:p>
            <w:pPr>
              <w:widowControl/>
              <w:spacing w:line="360" w:lineRule="atLeast"/>
              <w:jc w:val="center"/>
              <w:rPr>
                <w:szCs w:val="21"/>
              </w:rPr>
            </w:pPr>
            <w:r>
              <w:rPr>
                <w:szCs w:val="21"/>
              </w:rPr>
              <w:t>8.2</w:t>
            </w:r>
          </w:p>
        </w:tc>
        <w:tc>
          <w:tcPr>
            <w:tcW w:w="929" w:type="dxa"/>
            <w:vAlign w:val="center"/>
          </w:tcPr>
          <w:p>
            <w:pPr>
              <w:widowControl/>
              <w:spacing w:line="360" w:lineRule="atLeast"/>
              <w:jc w:val="center"/>
              <w:rPr>
                <w:szCs w:val="21"/>
              </w:rPr>
            </w:pPr>
            <w:r>
              <w:rPr>
                <w:szCs w:val="21"/>
              </w:rPr>
              <w:t>-</w:t>
            </w:r>
          </w:p>
        </w:tc>
        <w:tc>
          <w:tcPr>
            <w:tcW w:w="908" w:type="dxa"/>
            <w:shd w:val="clear" w:color="000000" w:fill="FFFFFF"/>
            <w:vAlign w:val="center"/>
          </w:tcPr>
          <w:p>
            <w:pPr>
              <w:spacing w:line="360" w:lineRule="atLeast"/>
              <w:jc w:val="center"/>
              <w:rPr>
                <w:szCs w:val="21"/>
              </w:rPr>
            </w:pPr>
            <w:r>
              <w:rPr>
                <w:rFonts w:hint="eastAsia"/>
                <w:color w:val="000000"/>
                <w:szCs w:val="21"/>
              </w:rPr>
              <w:t>8.73</w:t>
            </w:r>
          </w:p>
        </w:tc>
        <w:tc>
          <w:tcPr>
            <w:tcW w:w="908" w:type="dxa"/>
            <w:shd w:val="clear" w:color="000000" w:fill="FFFFFF"/>
            <w:vAlign w:val="center"/>
          </w:tcPr>
          <w:p>
            <w:pPr>
              <w:spacing w:line="360" w:lineRule="atLeast"/>
              <w:jc w:val="center"/>
              <w:rPr>
                <w:szCs w:val="21"/>
              </w:rPr>
            </w:pPr>
          </w:p>
        </w:tc>
        <w:tc>
          <w:tcPr>
            <w:tcW w:w="1791" w:type="dxa"/>
            <w:vAlign w:val="center"/>
          </w:tcPr>
          <w:p>
            <w:pPr>
              <w:spacing w:line="360" w:lineRule="atLeast"/>
              <w:jc w:val="center"/>
              <w:rPr>
                <w:szCs w:val="21"/>
              </w:rPr>
            </w:pPr>
            <w:r>
              <w:rPr>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793" w:type="dxa"/>
            <w:vMerge w:val="continue"/>
            <w:vAlign w:val="center"/>
          </w:tcPr>
          <w:p>
            <w:pPr>
              <w:widowControl/>
              <w:spacing w:line="360" w:lineRule="atLeast"/>
              <w:jc w:val="center"/>
              <w:rPr>
                <w:szCs w:val="21"/>
              </w:rPr>
            </w:pPr>
          </w:p>
        </w:tc>
        <w:tc>
          <w:tcPr>
            <w:tcW w:w="2257" w:type="dxa"/>
            <w:vAlign w:val="center"/>
          </w:tcPr>
          <w:p>
            <w:pPr>
              <w:widowControl/>
              <w:spacing w:line="360" w:lineRule="atLeast"/>
              <w:jc w:val="center"/>
              <w:rPr>
                <w:szCs w:val="21"/>
              </w:rPr>
            </w:pPr>
            <w:r>
              <w:rPr>
                <w:szCs w:val="21"/>
              </w:rPr>
              <w:t>折算</w:t>
            </w:r>
            <w:r>
              <w:rPr>
                <w:rFonts w:hint="eastAsia"/>
                <w:szCs w:val="21"/>
              </w:rPr>
              <w:t>氟化物</w:t>
            </w:r>
            <w:r>
              <w:rPr>
                <w:szCs w:val="21"/>
              </w:rPr>
              <w:t>减排（t</w:t>
            </w:r>
            <w:r>
              <w:rPr>
                <w:rFonts w:hint="eastAsia"/>
                <w:szCs w:val="21"/>
              </w:rPr>
              <w:t>/a</w:t>
            </w:r>
            <w:r>
              <w:rPr>
                <w:szCs w:val="21"/>
              </w:rPr>
              <w:t>）</w:t>
            </w:r>
          </w:p>
        </w:tc>
        <w:tc>
          <w:tcPr>
            <w:tcW w:w="936" w:type="dxa"/>
            <w:vAlign w:val="center"/>
          </w:tcPr>
          <w:p>
            <w:pPr>
              <w:widowControl/>
              <w:spacing w:line="360" w:lineRule="atLeast"/>
              <w:jc w:val="center"/>
              <w:rPr>
                <w:szCs w:val="21"/>
              </w:rPr>
            </w:pPr>
            <w:r>
              <w:rPr>
                <w:rFonts w:hint="eastAsia"/>
                <w:szCs w:val="21"/>
              </w:rPr>
              <w:t>2.25</w:t>
            </w:r>
          </w:p>
        </w:tc>
        <w:tc>
          <w:tcPr>
            <w:tcW w:w="929" w:type="dxa"/>
            <w:vAlign w:val="center"/>
          </w:tcPr>
          <w:p>
            <w:pPr>
              <w:widowControl/>
              <w:spacing w:line="360" w:lineRule="atLeast"/>
              <w:jc w:val="center"/>
              <w:rPr>
                <w:szCs w:val="21"/>
              </w:rPr>
            </w:pPr>
            <w:r>
              <w:rPr>
                <w:szCs w:val="21"/>
              </w:rPr>
              <w:t>-</w:t>
            </w:r>
          </w:p>
        </w:tc>
        <w:tc>
          <w:tcPr>
            <w:tcW w:w="908" w:type="dxa"/>
            <w:shd w:val="clear" w:color="000000" w:fill="FFFFFF"/>
            <w:vAlign w:val="center"/>
          </w:tcPr>
          <w:p>
            <w:pPr>
              <w:spacing w:line="360" w:lineRule="atLeast"/>
              <w:jc w:val="center"/>
              <w:rPr>
                <w:szCs w:val="21"/>
              </w:rPr>
            </w:pPr>
            <w:r>
              <w:rPr>
                <w:rFonts w:hint="eastAsia"/>
                <w:color w:val="000000"/>
                <w:szCs w:val="21"/>
              </w:rPr>
              <w:t>4.21</w:t>
            </w:r>
          </w:p>
        </w:tc>
        <w:tc>
          <w:tcPr>
            <w:tcW w:w="908" w:type="dxa"/>
            <w:shd w:val="clear" w:color="000000" w:fill="FFFFFF"/>
            <w:vAlign w:val="center"/>
          </w:tcPr>
          <w:p>
            <w:pPr>
              <w:spacing w:line="360" w:lineRule="atLeast"/>
              <w:jc w:val="center"/>
              <w:rPr>
                <w:szCs w:val="21"/>
              </w:rPr>
            </w:pPr>
          </w:p>
        </w:tc>
        <w:tc>
          <w:tcPr>
            <w:tcW w:w="1791" w:type="dxa"/>
            <w:vAlign w:val="center"/>
          </w:tcPr>
          <w:p>
            <w:pPr>
              <w:spacing w:line="360" w:lineRule="atLeast"/>
              <w:jc w:val="center"/>
              <w:rPr>
                <w:szCs w:val="21"/>
              </w:rPr>
            </w:pPr>
            <w:r>
              <w:rPr>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793" w:type="dxa"/>
            <w:vMerge w:val="continue"/>
            <w:vAlign w:val="center"/>
          </w:tcPr>
          <w:p>
            <w:pPr>
              <w:widowControl/>
              <w:spacing w:line="360" w:lineRule="atLeast"/>
              <w:rPr>
                <w:szCs w:val="21"/>
              </w:rPr>
            </w:pPr>
          </w:p>
        </w:tc>
        <w:tc>
          <w:tcPr>
            <w:tcW w:w="2257" w:type="dxa"/>
            <w:vAlign w:val="center"/>
          </w:tcPr>
          <w:p>
            <w:pPr>
              <w:widowControl/>
              <w:spacing w:line="360" w:lineRule="atLeast"/>
              <w:jc w:val="center"/>
              <w:rPr>
                <w:szCs w:val="21"/>
              </w:rPr>
            </w:pPr>
            <w:r>
              <w:rPr>
                <w:szCs w:val="21"/>
              </w:rPr>
              <w:t>折算颗粒物减排（t/a）</w:t>
            </w:r>
          </w:p>
        </w:tc>
        <w:tc>
          <w:tcPr>
            <w:tcW w:w="936" w:type="dxa"/>
            <w:vAlign w:val="center"/>
          </w:tcPr>
          <w:p>
            <w:pPr>
              <w:widowControl/>
              <w:spacing w:line="360" w:lineRule="atLeast"/>
              <w:jc w:val="center"/>
              <w:rPr>
                <w:szCs w:val="21"/>
              </w:rPr>
            </w:pPr>
            <w:r>
              <w:rPr>
                <w:rFonts w:hint="eastAsia"/>
                <w:szCs w:val="21"/>
              </w:rPr>
              <w:t>0.34</w:t>
            </w:r>
          </w:p>
        </w:tc>
        <w:tc>
          <w:tcPr>
            <w:tcW w:w="929" w:type="dxa"/>
            <w:vAlign w:val="center"/>
          </w:tcPr>
          <w:p>
            <w:pPr>
              <w:widowControl/>
              <w:spacing w:line="360" w:lineRule="atLeast"/>
              <w:jc w:val="center"/>
              <w:rPr>
                <w:szCs w:val="21"/>
              </w:rPr>
            </w:pPr>
            <w:r>
              <w:rPr>
                <w:szCs w:val="21"/>
              </w:rPr>
              <w:t>-</w:t>
            </w:r>
          </w:p>
        </w:tc>
        <w:tc>
          <w:tcPr>
            <w:tcW w:w="908" w:type="dxa"/>
            <w:shd w:val="clear" w:color="000000" w:fill="FFFFFF"/>
            <w:vAlign w:val="center"/>
          </w:tcPr>
          <w:p>
            <w:pPr>
              <w:spacing w:line="360" w:lineRule="atLeast"/>
              <w:jc w:val="center"/>
              <w:rPr>
                <w:szCs w:val="21"/>
              </w:rPr>
            </w:pPr>
            <w:r>
              <w:rPr>
                <w:rFonts w:hint="eastAsia"/>
                <w:color w:val="000000"/>
                <w:szCs w:val="21"/>
              </w:rPr>
              <w:t>2.18</w:t>
            </w:r>
          </w:p>
        </w:tc>
        <w:tc>
          <w:tcPr>
            <w:tcW w:w="908" w:type="dxa"/>
            <w:shd w:val="clear" w:color="000000" w:fill="FFFFFF"/>
            <w:vAlign w:val="center"/>
          </w:tcPr>
          <w:p>
            <w:pPr>
              <w:spacing w:line="360" w:lineRule="atLeast"/>
              <w:jc w:val="center"/>
              <w:rPr>
                <w:szCs w:val="21"/>
              </w:rPr>
            </w:pPr>
          </w:p>
        </w:tc>
        <w:tc>
          <w:tcPr>
            <w:tcW w:w="1791" w:type="dxa"/>
            <w:vAlign w:val="center"/>
          </w:tcPr>
          <w:p>
            <w:pPr>
              <w:spacing w:line="360" w:lineRule="atLeast"/>
              <w:jc w:val="center"/>
              <w:rPr>
                <w:szCs w:val="21"/>
              </w:rPr>
            </w:pPr>
            <w:r>
              <w:rPr>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793" w:type="dxa"/>
            <w:vMerge w:val="continue"/>
            <w:vAlign w:val="center"/>
          </w:tcPr>
          <w:p>
            <w:pPr>
              <w:widowControl/>
              <w:spacing w:line="360" w:lineRule="atLeast"/>
              <w:rPr>
                <w:szCs w:val="21"/>
              </w:rPr>
            </w:pPr>
          </w:p>
        </w:tc>
        <w:tc>
          <w:tcPr>
            <w:tcW w:w="2257" w:type="dxa"/>
            <w:vAlign w:val="center"/>
          </w:tcPr>
          <w:p>
            <w:pPr>
              <w:widowControl/>
              <w:spacing w:line="360" w:lineRule="atLeast"/>
              <w:jc w:val="center"/>
              <w:rPr>
                <w:szCs w:val="21"/>
              </w:rPr>
            </w:pPr>
            <w:r>
              <w:rPr>
                <w:szCs w:val="21"/>
              </w:rPr>
              <w:t>折算NO</w:t>
            </w:r>
            <w:r>
              <w:rPr>
                <w:szCs w:val="21"/>
                <w:vertAlign w:val="subscript"/>
              </w:rPr>
              <w:t>X</w:t>
            </w:r>
            <w:r>
              <w:rPr>
                <w:szCs w:val="21"/>
              </w:rPr>
              <w:t>减排（t/a）</w:t>
            </w:r>
          </w:p>
        </w:tc>
        <w:tc>
          <w:tcPr>
            <w:tcW w:w="936" w:type="dxa"/>
            <w:vAlign w:val="center"/>
          </w:tcPr>
          <w:p>
            <w:pPr>
              <w:widowControl/>
              <w:spacing w:line="360" w:lineRule="atLeast"/>
              <w:jc w:val="center"/>
              <w:rPr>
                <w:szCs w:val="21"/>
              </w:rPr>
            </w:pPr>
            <w:r>
              <w:rPr>
                <w:rFonts w:hint="eastAsia"/>
                <w:szCs w:val="21"/>
              </w:rPr>
              <w:t>0.59</w:t>
            </w:r>
          </w:p>
        </w:tc>
        <w:tc>
          <w:tcPr>
            <w:tcW w:w="929" w:type="dxa"/>
            <w:vAlign w:val="center"/>
          </w:tcPr>
          <w:p>
            <w:pPr>
              <w:widowControl/>
              <w:spacing w:line="360" w:lineRule="atLeast"/>
              <w:jc w:val="center"/>
              <w:rPr>
                <w:szCs w:val="21"/>
              </w:rPr>
            </w:pPr>
            <w:r>
              <w:rPr>
                <w:rFonts w:hint="eastAsia"/>
                <w:szCs w:val="21"/>
              </w:rPr>
              <w:t>0.11</w:t>
            </w:r>
          </w:p>
        </w:tc>
        <w:tc>
          <w:tcPr>
            <w:tcW w:w="908" w:type="dxa"/>
            <w:shd w:val="clear" w:color="000000" w:fill="FFFFFF"/>
            <w:vAlign w:val="center"/>
          </w:tcPr>
          <w:p>
            <w:pPr>
              <w:spacing w:line="360" w:lineRule="atLeast"/>
              <w:jc w:val="center"/>
              <w:rPr>
                <w:szCs w:val="21"/>
              </w:rPr>
            </w:pPr>
            <w:r>
              <w:rPr>
                <w:rFonts w:hint="eastAsia"/>
                <w:color w:val="000000"/>
                <w:szCs w:val="21"/>
              </w:rPr>
              <w:t>4.08</w:t>
            </w:r>
          </w:p>
        </w:tc>
        <w:tc>
          <w:tcPr>
            <w:tcW w:w="908" w:type="dxa"/>
            <w:shd w:val="clear" w:color="000000" w:fill="FFFFFF"/>
            <w:vAlign w:val="center"/>
          </w:tcPr>
          <w:p>
            <w:pPr>
              <w:spacing w:line="360" w:lineRule="atLeast"/>
              <w:jc w:val="center"/>
              <w:rPr>
                <w:szCs w:val="21"/>
              </w:rPr>
            </w:pPr>
            <w:r>
              <w:rPr>
                <w:rFonts w:hint="eastAsia"/>
                <w:color w:val="000000"/>
                <w:szCs w:val="21"/>
              </w:rPr>
              <w:t>0.00</w:t>
            </w:r>
          </w:p>
        </w:tc>
        <w:tc>
          <w:tcPr>
            <w:tcW w:w="1791" w:type="dxa"/>
            <w:vAlign w:val="center"/>
          </w:tcPr>
          <w:p>
            <w:pPr>
              <w:widowControl/>
              <w:spacing w:line="360" w:lineRule="atLeast"/>
              <w:jc w:val="center"/>
              <w:rPr>
                <w:szCs w:val="21"/>
              </w:rPr>
            </w:pPr>
            <w:r>
              <w:rPr>
                <w:rFonts w:hint="eastAsia"/>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793" w:type="dxa"/>
            <w:vMerge w:val="continue"/>
            <w:vAlign w:val="center"/>
          </w:tcPr>
          <w:p>
            <w:pPr>
              <w:widowControl/>
              <w:spacing w:line="360" w:lineRule="atLeast"/>
              <w:rPr>
                <w:szCs w:val="21"/>
              </w:rPr>
            </w:pPr>
          </w:p>
        </w:tc>
        <w:tc>
          <w:tcPr>
            <w:tcW w:w="2257" w:type="dxa"/>
            <w:vAlign w:val="center"/>
          </w:tcPr>
          <w:p>
            <w:pPr>
              <w:widowControl/>
              <w:spacing w:line="360" w:lineRule="atLeast"/>
              <w:jc w:val="center"/>
              <w:rPr>
                <w:szCs w:val="21"/>
              </w:rPr>
            </w:pPr>
            <w:r>
              <w:rPr>
                <w:szCs w:val="21"/>
              </w:rPr>
              <w:t>折算SO</w:t>
            </w:r>
            <w:r>
              <w:rPr>
                <w:szCs w:val="21"/>
                <w:vertAlign w:val="subscript"/>
              </w:rPr>
              <w:t>2</w:t>
            </w:r>
            <w:r>
              <w:rPr>
                <w:szCs w:val="21"/>
              </w:rPr>
              <w:t>减排（t/a）</w:t>
            </w:r>
          </w:p>
        </w:tc>
        <w:tc>
          <w:tcPr>
            <w:tcW w:w="936" w:type="dxa"/>
            <w:vAlign w:val="center"/>
          </w:tcPr>
          <w:p>
            <w:pPr>
              <w:widowControl/>
              <w:spacing w:line="360" w:lineRule="atLeast"/>
              <w:jc w:val="center"/>
              <w:rPr>
                <w:szCs w:val="21"/>
              </w:rPr>
            </w:pPr>
            <w:r>
              <w:rPr>
                <w:rFonts w:hint="eastAsia"/>
                <w:szCs w:val="21"/>
              </w:rPr>
              <w:t>15.73</w:t>
            </w:r>
          </w:p>
        </w:tc>
        <w:tc>
          <w:tcPr>
            <w:tcW w:w="929" w:type="dxa"/>
            <w:vAlign w:val="center"/>
          </w:tcPr>
          <w:p>
            <w:pPr>
              <w:widowControl/>
              <w:spacing w:line="360" w:lineRule="atLeast"/>
              <w:jc w:val="center"/>
              <w:rPr>
                <w:szCs w:val="21"/>
              </w:rPr>
            </w:pPr>
            <w:r>
              <w:rPr>
                <w:rFonts w:hint="eastAsia"/>
                <w:szCs w:val="21"/>
              </w:rPr>
              <w:t>5.89</w:t>
            </w:r>
          </w:p>
        </w:tc>
        <w:tc>
          <w:tcPr>
            <w:tcW w:w="908" w:type="dxa"/>
            <w:shd w:val="clear" w:color="000000" w:fill="FFFFFF"/>
            <w:vAlign w:val="center"/>
          </w:tcPr>
          <w:p>
            <w:pPr>
              <w:spacing w:line="360" w:lineRule="atLeast"/>
              <w:jc w:val="center"/>
              <w:rPr>
                <w:szCs w:val="21"/>
              </w:rPr>
            </w:pPr>
            <w:r>
              <w:rPr>
                <w:rFonts w:hint="eastAsia"/>
                <w:color w:val="000000"/>
                <w:szCs w:val="21"/>
              </w:rPr>
              <w:t>17.19</w:t>
            </w:r>
          </w:p>
        </w:tc>
        <w:tc>
          <w:tcPr>
            <w:tcW w:w="908" w:type="dxa"/>
            <w:shd w:val="clear" w:color="000000" w:fill="FFFFFF"/>
            <w:vAlign w:val="center"/>
          </w:tcPr>
          <w:p>
            <w:pPr>
              <w:spacing w:line="360" w:lineRule="atLeast"/>
              <w:jc w:val="center"/>
              <w:rPr>
                <w:szCs w:val="21"/>
              </w:rPr>
            </w:pPr>
            <w:r>
              <w:rPr>
                <w:rFonts w:hint="eastAsia"/>
                <w:color w:val="000000"/>
                <w:szCs w:val="21"/>
              </w:rPr>
              <w:t>30.00</w:t>
            </w:r>
          </w:p>
        </w:tc>
        <w:tc>
          <w:tcPr>
            <w:tcW w:w="1791" w:type="dxa"/>
            <w:vAlign w:val="center"/>
          </w:tcPr>
          <w:p>
            <w:pPr>
              <w:widowControl/>
              <w:spacing w:line="360" w:lineRule="atLeast"/>
              <w:jc w:val="center"/>
              <w:rPr>
                <w:szCs w:val="21"/>
              </w:rPr>
            </w:pPr>
            <w:r>
              <w:rPr>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793" w:type="dxa"/>
            <w:vAlign w:val="center"/>
          </w:tcPr>
          <w:p>
            <w:pPr>
              <w:widowControl/>
              <w:spacing w:line="360" w:lineRule="atLeast"/>
              <w:jc w:val="center"/>
              <w:rPr>
                <w:szCs w:val="21"/>
              </w:rPr>
            </w:pPr>
            <w:r>
              <w:rPr>
                <w:szCs w:val="21"/>
              </w:rPr>
              <w:t>经济效益</w:t>
            </w:r>
          </w:p>
        </w:tc>
        <w:tc>
          <w:tcPr>
            <w:tcW w:w="2257" w:type="dxa"/>
            <w:vAlign w:val="center"/>
          </w:tcPr>
          <w:p>
            <w:pPr>
              <w:widowControl/>
              <w:spacing w:line="360" w:lineRule="atLeast"/>
              <w:jc w:val="center"/>
              <w:rPr>
                <w:szCs w:val="21"/>
              </w:rPr>
            </w:pPr>
            <w:r>
              <w:rPr>
                <w:szCs w:val="21"/>
              </w:rPr>
              <w:t>总计</w:t>
            </w:r>
            <w:r>
              <w:rPr>
                <w:rFonts w:hint="eastAsia"/>
                <w:szCs w:val="21"/>
              </w:rPr>
              <w:t>(万元)</w:t>
            </w:r>
          </w:p>
        </w:tc>
        <w:tc>
          <w:tcPr>
            <w:tcW w:w="936" w:type="dxa"/>
            <w:vAlign w:val="center"/>
          </w:tcPr>
          <w:p>
            <w:pPr>
              <w:widowControl/>
              <w:spacing w:line="360" w:lineRule="atLeast"/>
              <w:jc w:val="center"/>
              <w:rPr>
                <w:szCs w:val="21"/>
              </w:rPr>
            </w:pPr>
            <w:r>
              <w:rPr>
                <w:rFonts w:hint="eastAsia"/>
                <w:szCs w:val="21"/>
              </w:rPr>
              <w:t>1579.01</w:t>
            </w:r>
          </w:p>
        </w:tc>
        <w:tc>
          <w:tcPr>
            <w:tcW w:w="929" w:type="dxa"/>
            <w:vAlign w:val="center"/>
          </w:tcPr>
          <w:p>
            <w:pPr>
              <w:widowControl/>
              <w:spacing w:line="360" w:lineRule="atLeast"/>
              <w:jc w:val="center"/>
              <w:rPr>
                <w:szCs w:val="21"/>
              </w:rPr>
            </w:pPr>
            <w:r>
              <w:rPr>
                <w:rFonts w:hint="eastAsia"/>
                <w:szCs w:val="21"/>
              </w:rPr>
              <w:t>1230.53</w:t>
            </w:r>
          </w:p>
        </w:tc>
        <w:tc>
          <w:tcPr>
            <w:tcW w:w="908" w:type="dxa"/>
            <w:shd w:val="clear" w:color="000000" w:fill="FFFFFF"/>
            <w:vAlign w:val="center"/>
          </w:tcPr>
          <w:p>
            <w:pPr>
              <w:spacing w:line="360" w:lineRule="atLeast"/>
              <w:jc w:val="center"/>
              <w:rPr>
                <w:szCs w:val="21"/>
              </w:rPr>
            </w:pPr>
            <w:r>
              <w:rPr>
                <w:rFonts w:hint="eastAsia"/>
                <w:color w:val="000000"/>
                <w:szCs w:val="21"/>
              </w:rPr>
              <w:t>1839.67</w:t>
            </w:r>
          </w:p>
        </w:tc>
        <w:tc>
          <w:tcPr>
            <w:tcW w:w="908" w:type="dxa"/>
            <w:shd w:val="clear" w:color="000000" w:fill="FFFFFF"/>
            <w:vAlign w:val="center"/>
          </w:tcPr>
          <w:p>
            <w:pPr>
              <w:spacing w:line="360" w:lineRule="atLeast"/>
              <w:jc w:val="center"/>
              <w:rPr>
                <w:szCs w:val="21"/>
              </w:rPr>
            </w:pPr>
            <w:r>
              <w:rPr>
                <w:rFonts w:hint="eastAsia"/>
                <w:color w:val="000000"/>
                <w:szCs w:val="21"/>
              </w:rPr>
              <w:t>1914.57</w:t>
            </w:r>
          </w:p>
        </w:tc>
        <w:tc>
          <w:tcPr>
            <w:tcW w:w="1791" w:type="dxa"/>
            <w:vAlign w:val="center"/>
          </w:tcPr>
          <w:p>
            <w:pPr>
              <w:widowControl/>
              <w:spacing w:line="360" w:lineRule="atLeast"/>
              <w:jc w:val="center"/>
              <w:rPr>
                <w:szCs w:val="21"/>
              </w:rPr>
            </w:pPr>
            <w:r>
              <w:rPr>
                <w:szCs w:val="21"/>
              </w:rPr>
              <w:t>是</w:t>
            </w:r>
          </w:p>
        </w:tc>
      </w:tr>
      <w:bookmarkEnd w:id="0"/>
    </w:tbl>
    <w:p>
      <w:pPr>
        <w:spacing w:line="560" w:lineRule="exact"/>
        <w:jc w:val="center"/>
        <w:rPr>
          <w:rFonts w:ascii="楷体_GB2312" w:eastAsia="楷体_GB2312"/>
          <w:sz w:val="32"/>
          <w:szCs w:val="32"/>
        </w:rPr>
      </w:pPr>
    </w:p>
    <w:p>
      <w:pPr>
        <w:spacing w:line="560" w:lineRule="exact"/>
        <w:jc w:val="center"/>
        <w:rPr>
          <w:rFonts w:ascii="楷体_GB2312" w:eastAsia="楷体_GB2312"/>
          <w:sz w:val="32"/>
          <w:szCs w:val="32"/>
        </w:rPr>
      </w:pPr>
      <w:r>
        <w:rPr>
          <w:rFonts w:hint="eastAsia" w:ascii="楷体_GB2312" w:eastAsia="楷体_GB2312"/>
          <w:sz w:val="32"/>
          <w:szCs w:val="32"/>
        </w:rPr>
        <w:t>清洁生产目标完成情况</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2340"/>
        <w:gridCol w:w="910"/>
        <w:gridCol w:w="781"/>
        <w:gridCol w:w="651"/>
        <w:gridCol w:w="910"/>
        <w:gridCol w:w="810"/>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271" w:type="dxa"/>
            <w:vAlign w:val="center"/>
          </w:tcPr>
          <w:p>
            <w:pPr>
              <w:spacing w:line="360" w:lineRule="exact"/>
              <w:jc w:val="center"/>
              <w:rPr>
                <w:b/>
                <w:color w:val="000000"/>
                <w:szCs w:val="21"/>
              </w:rPr>
            </w:pPr>
            <w:r>
              <w:rPr>
                <w:rFonts w:hint="eastAsia"/>
                <w:b/>
                <w:color w:val="000000"/>
                <w:szCs w:val="21"/>
              </w:rPr>
              <w:t>审核重点</w:t>
            </w:r>
          </w:p>
        </w:tc>
        <w:tc>
          <w:tcPr>
            <w:tcW w:w="2340" w:type="dxa"/>
            <w:vAlign w:val="center"/>
          </w:tcPr>
          <w:p>
            <w:pPr>
              <w:spacing w:line="360" w:lineRule="exact"/>
              <w:jc w:val="center"/>
              <w:rPr>
                <w:b/>
                <w:color w:val="000000"/>
                <w:szCs w:val="21"/>
              </w:rPr>
            </w:pPr>
            <w:r>
              <w:rPr>
                <w:rFonts w:hint="eastAsia"/>
                <w:b/>
                <w:color w:val="000000"/>
                <w:szCs w:val="21"/>
              </w:rPr>
              <w:t>指标</w:t>
            </w:r>
          </w:p>
        </w:tc>
        <w:tc>
          <w:tcPr>
            <w:tcW w:w="910" w:type="dxa"/>
            <w:vAlign w:val="center"/>
          </w:tcPr>
          <w:p>
            <w:pPr>
              <w:spacing w:line="360" w:lineRule="exact"/>
              <w:jc w:val="center"/>
              <w:rPr>
                <w:b/>
                <w:color w:val="000000"/>
                <w:szCs w:val="21"/>
              </w:rPr>
            </w:pPr>
            <w:r>
              <w:rPr>
                <w:rFonts w:hint="eastAsia"/>
                <w:b/>
                <w:color w:val="000000"/>
                <w:szCs w:val="21"/>
              </w:rPr>
              <w:t>审核前</w:t>
            </w:r>
          </w:p>
        </w:tc>
        <w:tc>
          <w:tcPr>
            <w:tcW w:w="781" w:type="dxa"/>
            <w:vAlign w:val="center"/>
          </w:tcPr>
          <w:p>
            <w:pPr>
              <w:spacing w:line="360" w:lineRule="exact"/>
              <w:jc w:val="center"/>
              <w:rPr>
                <w:b/>
                <w:color w:val="000000"/>
                <w:szCs w:val="21"/>
              </w:rPr>
            </w:pPr>
            <w:r>
              <w:rPr>
                <w:rFonts w:hint="eastAsia"/>
                <w:b/>
                <w:color w:val="000000"/>
                <w:szCs w:val="21"/>
              </w:rPr>
              <w:t>级别</w:t>
            </w:r>
          </w:p>
        </w:tc>
        <w:tc>
          <w:tcPr>
            <w:tcW w:w="651" w:type="dxa"/>
            <w:vAlign w:val="center"/>
          </w:tcPr>
          <w:p>
            <w:pPr>
              <w:spacing w:line="360" w:lineRule="exact"/>
              <w:jc w:val="center"/>
              <w:rPr>
                <w:b/>
                <w:color w:val="000000"/>
                <w:szCs w:val="21"/>
              </w:rPr>
            </w:pPr>
            <w:r>
              <w:rPr>
                <w:rFonts w:hint="eastAsia"/>
                <w:b/>
                <w:color w:val="000000"/>
                <w:szCs w:val="21"/>
              </w:rPr>
              <w:t>近期目标</w:t>
            </w:r>
          </w:p>
        </w:tc>
        <w:tc>
          <w:tcPr>
            <w:tcW w:w="910" w:type="dxa"/>
            <w:vAlign w:val="center"/>
          </w:tcPr>
          <w:p>
            <w:pPr>
              <w:spacing w:line="360" w:lineRule="exact"/>
              <w:jc w:val="center"/>
              <w:rPr>
                <w:b/>
                <w:color w:val="000000"/>
                <w:szCs w:val="21"/>
              </w:rPr>
            </w:pPr>
            <w:r>
              <w:rPr>
                <w:rFonts w:hint="eastAsia"/>
                <w:b/>
                <w:color w:val="000000"/>
                <w:szCs w:val="21"/>
              </w:rPr>
              <w:t>审核后</w:t>
            </w:r>
          </w:p>
        </w:tc>
        <w:tc>
          <w:tcPr>
            <w:tcW w:w="810" w:type="dxa"/>
            <w:vAlign w:val="center"/>
          </w:tcPr>
          <w:p>
            <w:pPr>
              <w:spacing w:line="360" w:lineRule="exact"/>
              <w:jc w:val="center"/>
              <w:rPr>
                <w:b/>
                <w:color w:val="000000"/>
                <w:szCs w:val="21"/>
              </w:rPr>
            </w:pPr>
            <w:r>
              <w:rPr>
                <w:rFonts w:hint="eastAsia"/>
                <w:b/>
                <w:color w:val="000000"/>
                <w:szCs w:val="21"/>
              </w:rPr>
              <w:t>级别</w:t>
            </w:r>
          </w:p>
        </w:tc>
        <w:tc>
          <w:tcPr>
            <w:tcW w:w="849" w:type="dxa"/>
            <w:vAlign w:val="center"/>
          </w:tcPr>
          <w:p>
            <w:pPr>
              <w:spacing w:line="360" w:lineRule="exact"/>
              <w:jc w:val="center"/>
              <w:rPr>
                <w:b/>
                <w:color w:val="000000"/>
                <w:szCs w:val="21"/>
              </w:rPr>
            </w:pPr>
            <w:r>
              <w:rPr>
                <w:rFonts w:hint="eastAsia"/>
                <w:b/>
                <w:color w:val="000000"/>
                <w:szCs w:val="21"/>
              </w:rPr>
              <w:t>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271" w:type="dxa"/>
            <w:vMerge w:val="restart"/>
            <w:vAlign w:val="center"/>
          </w:tcPr>
          <w:p>
            <w:pPr>
              <w:spacing w:line="360" w:lineRule="exact"/>
              <w:jc w:val="center"/>
              <w:rPr>
                <w:color w:val="000000"/>
                <w:szCs w:val="21"/>
              </w:rPr>
            </w:pPr>
            <w:r>
              <w:rPr>
                <w:rFonts w:hint="eastAsia"/>
                <w:color w:val="000000"/>
                <w:szCs w:val="21"/>
              </w:rPr>
              <w:t>氧化铝生产</w:t>
            </w:r>
          </w:p>
        </w:tc>
        <w:tc>
          <w:tcPr>
            <w:tcW w:w="2340" w:type="dxa"/>
            <w:vAlign w:val="center"/>
          </w:tcPr>
          <w:p>
            <w:pPr>
              <w:spacing w:line="360" w:lineRule="exact"/>
              <w:jc w:val="center"/>
              <w:rPr>
                <w:color w:val="000000"/>
                <w:szCs w:val="21"/>
              </w:rPr>
            </w:pPr>
            <w:r>
              <w:rPr>
                <w:rFonts w:hint="eastAsia"/>
                <w:color w:val="000000"/>
                <w:szCs w:val="21"/>
              </w:rPr>
              <w:t>氧化铝综合回收率/%</w:t>
            </w:r>
          </w:p>
        </w:tc>
        <w:tc>
          <w:tcPr>
            <w:tcW w:w="910" w:type="dxa"/>
            <w:vAlign w:val="center"/>
          </w:tcPr>
          <w:p>
            <w:pPr>
              <w:spacing w:line="360" w:lineRule="exact"/>
              <w:jc w:val="center"/>
              <w:rPr>
                <w:color w:val="000000"/>
                <w:szCs w:val="21"/>
              </w:rPr>
            </w:pPr>
            <w:r>
              <w:rPr>
                <w:rFonts w:hint="eastAsia"/>
                <w:color w:val="000000"/>
                <w:szCs w:val="21"/>
              </w:rPr>
              <w:t>74.</w:t>
            </w:r>
            <w:r>
              <w:rPr>
                <w:color w:val="000000"/>
                <w:szCs w:val="21"/>
              </w:rPr>
              <w:t>51</w:t>
            </w:r>
          </w:p>
        </w:tc>
        <w:tc>
          <w:tcPr>
            <w:tcW w:w="781" w:type="dxa"/>
            <w:vAlign w:val="center"/>
          </w:tcPr>
          <w:p>
            <w:pPr>
              <w:spacing w:line="360" w:lineRule="exact"/>
              <w:jc w:val="center"/>
              <w:rPr>
                <w:color w:val="000000"/>
                <w:szCs w:val="21"/>
              </w:rPr>
            </w:pPr>
            <w:r>
              <w:rPr>
                <w:rFonts w:hint="eastAsia"/>
                <w:color w:val="000000"/>
                <w:szCs w:val="21"/>
              </w:rPr>
              <w:t>&lt;三级</w:t>
            </w:r>
          </w:p>
        </w:tc>
        <w:tc>
          <w:tcPr>
            <w:tcW w:w="651" w:type="dxa"/>
            <w:vAlign w:val="center"/>
          </w:tcPr>
          <w:p>
            <w:pPr>
              <w:spacing w:line="360" w:lineRule="exact"/>
              <w:jc w:val="center"/>
              <w:rPr>
                <w:color w:val="000000"/>
                <w:szCs w:val="21"/>
              </w:rPr>
            </w:pPr>
            <w:r>
              <w:rPr>
                <w:rFonts w:hint="eastAsia"/>
                <w:color w:val="000000"/>
                <w:szCs w:val="21"/>
              </w:rPr>
              <w:t>7</w:t>
            </w:r>
            <w:r>
              <w:rPr>
                <w:color w:val="000000"/>
                <w:szCs w:val="21"/>
              </w:rPr>
              <w:t>5</w:t>
            </w:r>
          </w:p>
        </w:tc>
        <w:tc>
          <w:tcPr>
            <w:tcW w:w="910" w:type="dxa"/>
            <w:vAlign w:val="center"/>
          </w:tcPr>
          <w:p>
            <w:pPr>
              <w:spacing w:line="360" w:lineRule="exact"/>
              <w:jc w:val="center"/>
              <w:rPr>
                <w:color w:val="000000"/>
                <w:szCs w:val="21"/>
              </w:rPr>
            </w:pPr>
            <w:r>
              <w:rPr>
                <w:rFonts w:hint="eastAsia"/>
                <w:color w:val="000000"/>
                <w:szCs w:val="21"/>
              </w:rPr>
              <w:t>7</w:t>
            </w:r>
            <w:r>
              <w:rPr>
                <w:color w:val="000000"/>
                <w:szCs w:val="21"/>
              </w:rPr>
              <w:t>5.17</w:t>
            </w:r>
          </w:p>
        </w:tc>
        <w:tc>
          <w:tcPr>
            <w:tcW w:w="810" w:type="dxa"/>
            <w:vAlign w:val="center"/>
          </w:tcPr>
          <w:p>
            <w:pPr>
              <w:spacing w:line="360" w:lineRule="exact"/>
              <w:jc w:val="center"/>
              <w:rPr>
                <w:color w:val="000000"/>
                <w:szCs w:val="21"/>
              </w:rPr>
            </w:pPr>
            <w:r>
              <w:rPr>
                <w:rFonts w:hint="eastAsia"/>
                <w:color w:val="000000"/>
                <w:szCs w:val="21"/>
              </w:rPr>
              <w:t>三级</w:t>
            </w:r>
          </w:p>
        </w:tc>
        <w:tc>
          <w:tcPr>
            <w:tcW w:w="849" w:type="dxa"/>
            <w:vAlign w:val="center"/>
          </w:tcPr>
          <w:p>
            <w:pPr>
              <w:spacing w:line="360" w:lineRule="exact"/>
              <w:jc w:val="center"/>
              <w:rPr>
                <w:color w:val="000000"/>
                <w:szCs w:val="21"/>
              </w:rPr>
            </w:pPr>
            <w:r>
              <w:rPr>
                <w:rFonts w:hint="eastAsia"/>
                <w:color w:val="000000"/>
                <w:szCs w:val="21"/>
              </w:rPr>
              <w:t>达成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271" w:type="dxa"/>
            <w:vMerge w:val="continue"/>
            <w:vAlign w:val="center"/>
          </w:tcPr>
          <w:p>
            <w:pPr>
              <w:spacing w:line="360" w:lineRule="exact"/>
              <w:jc w:val="center"/>
              <w:rPr>
                <w:color w:val="000000"/>
                <w:szCs w:val="21"/>
              </w:rPr>
            </w:pPr>
          </w:p>
        </w:tc>
        <w:tc>
          <w:tcPr>
            <w:tcW w:w="2340" w:type="dxa"/>
            <w:vAlign w:val="center"/>
          </w:tcPr>
          <w:p>
            <w:pPr>
              <w:spacing w:line="360" w:lineRule="exact"/>
              <w:jc w:val="center"/>
              <w:rPr>
                <w:color w:val="000000"/>
                <w:szCs w:val="21"/>
              </w:rPr>
            </w:pPr>
            <w:r>
              <w:rPr>
                <w:rFonts w:hint="eastAsia"/>
                <w:color w:val="000000"/>
                <w:szCs w:val="21"/>
              </w:rPr>
              <w:t>工业用水重复利用率/%</w:t>
            </w:r>
          </w:p>
        </w:tc>
        <w:tc>
          <w:tcPr>
            <w:tcW w:w="910" w:type="dxa"/>
            <w:vAlign w:val="center"/>
          </w:tcPr>
          <w:p>
            <w:pPr>
              <w:spacing w:line="360" w:lineRule="exact"/>
              <w:jc w:val="center"/>
              <w:rPr>
                <w:color w:val="000000"/>
                <w:szCs w:val="21"/>
              </w:rPr>
            </w:pPr>
            <w:r>
              <w:rPr>
                <w:rFonts w:hint="eastAsia"/>
                <w:color w:val="000000"/>
                <w:szCs w:val="21"/>
              </w:rPr>
              <w:t>95.</w:t>
            </w:r>
            <w:r>
              <w:rPr>
                <w:color w:val="000000"/>
                <w:szCs w:val="21"/>
              </w:rPr>
              <w:t>22</w:t>
            </w:r>
          </w:p>
        </w:tc>
        <w:tc>
          <w:tcPr>
            <w:tcW w:w="781" w:type="dxa"/>
            <w:vAlign w:val="center"/>
          </w:tcPr>
          <w:p>
            <w:pPr>
              <w:spacing w:line="360" w:lineRule="exact"/>
              <w:jc w:val="center"/>
              <w:rPr>
                <w:color w:val="000000"/>
                <w:szCs w:val="21"/>
              </w:rPr>
            </w:pPr>
            <w:r>
              <w:rPr>
                <w:rFonts w:hint="eastAsia"/>
                <w:color w:val="000000"/>
                <w:szCs w:val="21"/>
              </w:rPr>
              <w:t>二级</w:t>
            </w:r>
          </w:p>
        </w:tc>
        <w:tc>
          <w:tcPr>
            <w:tcW w:w="651" w:type="dxa"/>
            <w:vAlign w:val="center"/>
          </w:tcPr>
          <w:p>
            <w:pPr>
              <w:spacing w:line="360" w:lineRule="exact"/>
              <w:jc w:val="center"/>
              <w:rPr>
                <w:color w:val="000000"/>
                <w:szCs w:val="21"/>
              </w:rPr>
            </w:pPr>
            <w:r>
              <w:rPr>
                <w:rFonts w:hint="eastAsia"/>
                <w:color w:val="000000"/>
                <w:szCs w:val="21"/>
              </w:rPr>
              <w:t>96</w:t>
            </w:r>
          </w:p>
        </w:tc>
        <w:tc>
          <w:tcPr>
            <w:tcW w:w="910" w:type="dxa"/>
            <w:vAlign w:val="center"/>
          </w:tcPr>
          <w:p>
            <w:pPr>
              <w:spacing w:line="360" w:lineRule="exact"/>
              <w:jc w:val="center"/>
              <w:rPr>
                <w:color w:val="000000"/>
                <w:szCs w:val="21"/>
              </w:rPr>
            </w:pPr>
            <w:r>
              <w:rPr>
                <w:rFonts w:hint="eastAsia"/>
                <w:color w:val="000000"/>
                <w:szCs w:val="21"/>
              </w:rPr>
              <w:t>96.</w:t>
            </w:r>
            <w:r>
              <w:rPr>
                <w:color w:val="000000"/>
                <w:szCs w:val="21"/>
              </w:rPr>
              <w:t>06</w:t>
            </w:r>
          </w:p>
        </w:tc>
        <w:tc>
          <w:tcPr>
            <w:tcW w:w="810" w:type="dxa"/>
            <w:vAlign w:val="center"/>
          </w:tcPr>
          <w:p>
            <w:pPr>
              <w:spacing w:line="360" w:lineRule="exact"/>
              <w:jc w:val="center"/>
              <w:rPr>
                <w:color w:val="000000"/>
                <w:szCs w:val="21"/>
              </w:rPr>
            </w:pPr>
            <w:r>
              <w:rPr>
                <w:rFonts w:hint="eastAsia"/>
                <w:color w:val="000000"/>
                <w:szCs w:val="21"/>
              </w:rPr>
              <w:t>一级</w:t>
            </w:r>
          </w:p>
        </w:tc>
        <w:tc>
          <w:tcPr>
            <w:tcW w:w="849" w:type="dxa"/>
            <w:vAlign w:val="center"/>
          </w:tcPr>
          <w:p>
            <w:pPr>
              <w:spacing w:line="360" w:lineRule="exact"/>
              <w:jc w:val="center"/>
              <w:rPr>
                <w:color w:val="000000"/>
                <w:szCs w:val="21"/>
              </w:rPr>
            </w:pPr>
            <w:r>
              <w:rPr>
                <w:rFonts w:hint="eastAsia"/>
                <w:color w:val="000000"/>
                <w:szCs w:val="21"/>
              </w:rPr>
              <w:t>达成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271" w:type="dxa"/>
            <w:vMerge w:val="restart"/>
            <w:vAlign w:val="center"/>
          </w:tcPr>
          <w:p>
            <w:pPr>
              <w:spacing w:line="360" w:lineRule="exact"/>
              <w:jc w:val="center"/>
              <w:rPr>
                <w:color w:val="000000"/>
                <w:szCs w:val="21"/>
              </w:rPr>
            </w:pPr>
            <w:r>
              <w:rPr>
                <w:rFonts w:hint="eastAsia"/>
                <w:color w:val="000000"/>
                <w:szCs w:val="21"/>
              </w:rPr>
              <w:t>电解铝生产</w:t>
            </w:r>
          </w:p>
        </w:tc>
        <w:tc>
          <w:tcPr>
            <w:tcW w:w="2340" w:type="dxa"/>
            <w:vAlign w:val="center"/>
          </w:tcPr>
          <w:p>
            <w:pPr>
              <w:spacing w:line="360" w:lineRule="exact"/>
              <w:jc w:val="center"/>
              <w:rPr>
                <w:color w:val="000000"/>
                <w:szCs w:val="21"/>
              </w:rPr>
            </w:pPr>
            <w:r>
              <w:rPr>
                <w:rFonts w:hint="eastAsia"/>
                <w:color w:val="000000"/>
                <w:szCs w:val="21"/>
              </w:rPr>
              <w:t>电流效率/%</w:t>
            </w:r>
          </w:p>
        </w:tc>
        <w:tc>
          <w:tcPr>
            <w:tcW w:w="910" w:type="dxa"/>
            <w:vAlign w:val="center"/>
          </w:tcPr>
          <w:p>
            <w:pPr>
              <w:spacing w:line="360" w:lineRule="exact"/>
              <w:jc w:val="center"/>
              <w:rPr>
                <w:color w:val="000000"/>
                <w:szCs w:val="21"/>
              </w:rPr>
            </w:pPr>
            <w:r>
              <w:rPr>
                <w:rFonts w:hint="eastAsia"/>
                <w:color w:val="000000"/>
                <w:szCs w:val="21"/>
              </w:rPr>
              <w:t>91.87</w:t>
            </w:r>
          </w:p>
        </w:tc>
        <w:tc>
          <w:tcPr>
            <w:tcW w:w="781" w:type="dxa"/>
            <w:vAlign w:val="center"/>
          </w:tcPr>
          <w:p>
            <w:pPr>
              <w:spacing w:line="360" w:lineRule="exact"/>
              <w:jc w:val="center"/>
              <w:rPr>
                <w:color w:val="000000"/>
                <w:szCs w:val="21"/>
              </w:rPr>
            </w:pPr>
            <w:r>
              <w:rPr>
                <w:rFonts w:hint="eastAsia"/>
                <w:color w:val="000000"/>
                <w:szCs w:val="21"/>
              </w:rPr>
              <w:t>三级</w:t>
            </w:r>
          </w:p>
        </w:tc>
        <w:tc>
          <w:tcPr>
            <w:tcW w:w="651" w:type="dxa"/>
            <w:vAlign w:val="center"/>
          </w:tcPr>
          <w:p>
            <w:pPr>
              <w:spacing w:line="360" w:lineRule="exact"/>
              <w:jc w:val="center"/>
              <w:rPr>
                <w:color w:val="000000"/>
                <w:szCs w:val="21"/>
              </w:rPr>
            </w:pPr>
            <w:r>
              <w:rPr>
                <w:rFonts w:hint="eastAsia"/>
                <w:color w:val="000000"/>
                <w:szCs w:val="21"/>
              </w:rPr>
              <w:t>92</w:t>
            </w:r>
          </w:p>
        </w:tc>
        <w:tc>
          <w:tcPr>
            <w:tcW w:w="910" w:type="dxa"/>
            <w:vAlign w:val="center"/>
          </w:tcPr>
          <w:p>
            <w:pPr>
              <w:spacing w:line="360" w:lineRule="exact"/>
              <w:jc w:val="center"/>
              <w:rPr>
                <w:color w:val="000000"/>
                <w:szCs w:val="21"/>
              </w:rPr>
            </w:pPr>
            <w:r>
              <w:rPr>
                <w:rFonts w:hint="eastAsia"/>
                <w:color w:val="000000"/>
                <w:szCs w:val="21"/>
              </w:rPr>
              <w:t>92.09</w:t>
            </w:r>
          </w:p>
        </w:tc>
        <w:tc>
          <w:tcPr>
            <w:tcW w:w="810" w:type="dxa"/>
            <w:vAlign w:val="center"/>
          </w:tcPr>
          <w:p>
            <w:pPr>
              <w:spacing w:line="360" w:lineRule="exact"/>
              <w:jc w:val="center"/>
              <w:rPr>
                <w:color w:val="000000"/>
                <w:szCs w:val="21"/>
              </w:rPr>
            </w:pPr>
            <w:r>
              <w:rPr>
                <w:rFonts w:hint="eastAsia"/>
                <w:color w:val="000000"/>
                <w:szCs w:val="21"/>
              </w:rPr>
              <w:t>三级</w:t>
            </w:r>
          </w:p>
        </w:tc>
        <w:tc>
          <w:tcPr>
            <w:tcW w:w="849" w:type="dxa"/>
            <w:vAlign w:val="center"/>
          </w:tcPr>
          <w:p>
            <w:pPr>
              <w:spacing w:line="360" w:lineRule="exact"/>
              <w:jc w:val="center"/>
              <w:rPr>
                <w:color w:val="000000"/>
                <w:szCs w:val="21"/>
              </w:rPr>
            </w:pPr>
            <w:r>
              <w:rPr>
                <w:rFonts w:hint="eastAsia"/>
                <w:color w:val="000000"/>
                <w:szCs w:val="21"/>
              </w:rPr>
              <w:t>达成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271" w:type="dxa"/>
            <w:vMerge w:val="continue"/>
            <w:vAlign w:val="center"/>
          </w:tcPr>
          <w:p>
            <w:pPr>
              <w:spacing w:line="360" w:lineRule="exact"/>
              <w:jc w:val="center"/>
              <w:rPr>
                <w:color w:val="000000"/>
                <w:szCs w:val="21"/>
              </w:rPr>
            </w:pPr>
          </w:p>
        </w:tc>
        <w:tc>
          <w:tcPr>
            <w:tcW w:w="2340" w:type="dxa"/>
            <w:vAlign w:val="center"/>
          </w:tcPr>
          <w:p>
            <w:pPr>
              <w:spacing w:line="360" w:lineRule="exact"/>
              <w:jc w:val="center"/>
              <w:rPr>
                <w:color w:val="000000"/>
                <w:szCs w:val="21"/>
              </w:rPr>
            </w:pPr>
            <w:r>
              <w:rPr>
                <w:rFonts w:cs="Times New Roman"/>
                <w:color w:val="000000"/>
                <w:szCs w:val="21"/>
              </w:rPr>
              <w:t>阳极单耗(净耗)</w:t>
            </w:r>
            <w:r>
              <w:rPr>
                <w:rFonts w:hint="eastAsia"/>
                <w:color w:val="000000"/>
                <w:szCs w:val="21"/>
              </w:rPr>
              <w:t>/</w:t>
            </w:r>
            <w:r>
              <w:rPr>
                <w:rFonts w:cs="Times New Roman"/>
                <w:color w:val="000000"/>
                <w:szCs w:val="21"/>
              </w:rPr>
              <w:t>kg/t</w:t>
            </w:r>
          </w:p>
        </w:tc>
        <w:tc>
          <w:tcPr>
            <w:tcW w:w="910" w:type="dxa"/>
            <w:vAlign w:val="center"/>
          </w:tcPr>
          <w:p>
            <w:pPr>
              <w:spacing w:line="360" w:lineRule="exact"/>
              <w:jc w:val="center"/>
              <w:rPr>
                <w:color w:val="000000"/>
                <w:szCs w:val="21"/>
              </w:rPr>
            </w:pPr>
            <w:r>
              <w:rPr>
                <w:rFonts w:hint="eastAsia"/>
                <w:color w:val="000000"/>
                <w:szCs w:val="21"/>
              </w:rPr>
              <w:t>418.95</w:t>
            </w:r>
          </w:p>
        </w:tc>
        <w:tc>
          <w:tcPr>
            <w:tcW w:w="781" w:type="dxa"/>
            <w:vAlign w:val="center"/>
          </w:tcPr>
          <w:p>
            <w:pPr>
              <w:spacing w:line="360" w:lineRule="exact"/>
              <w:jc w:val="center"/>
              <w:rPr>
                <w:color w:val="000000"/>
                <w:szCs w:val="21"/>
              </w:rPr>
            </w:pPr>
            <w:r>
              <w:rPr>
                <w:rFonts w:hint="eastAsia"/>
                <w:color w:val="000000"/>
                <w:szCs w:val="21"/>
              </w:rPr>
              <w:t>二级</w:t>
            </w:r>
          </w:p>
        </w:tc>
        <w:tc>
          <w:tcPr>
            <w:tcW w:w="651" w:type="dxa"/>
            <w:vAlign w:val="center"/>
          </w:tcPr>
          <w:p>
            <w:pPr>
              <w:spacing w:line="360" w:lineRule="exact"/>
              <w:jc w:val="center"/>
              <w:rPr>
                <w:color w:val="000000"/>
                <w:szCs w:val="21"/>
              </w:rPr>
            </w:pPr>
            <w:r>
              <w:rPr>
                <w:rFonts w:hint="eastAsia"/>
                <w:color w:val="000000"/>
                <w:szCs w:val="21"/>
              </w:rPr>
              <w:t>410</w:t>
            </w:r>
          </w:p>
        </w:tc>
        <w:tc>
          <w:tcPr>
            <w:tcW w:w="910" w:type="dxa"/>
            <w:vAlign w:val="center"/>
          </w:tcPr>
          <w:p>
            <w:pPr>
              <w:spacing w:line="360" w:lineRule="exact"/>
              <w:jc w:val="center"/>
              <w:rPr>
                <w:color w:val="000000"/>
                <w:szCs w:val="21"/>
              </w:rPr>
            </w:pPr>
            <w:r>
              <w:rPr>
                <w:rFonts w:hint="eastAsia"/>
                <w:color w:val="000000"/>
                <w:szCs w:val="21"/>
              </w:rPr>
              <w:t>4</w:t>
            </w:r>
            <w:r>
              <w:rPr>
                <w:color w:val="000000"/>
                <w:szCs w:val="21"/>
              </w:rPr>
              <w:t>06.27</w:t>
            </w:r>
          </w:p>
        </w:tc>
        <w:tc>
          <w:tcPr>
            <w:tcW w:w="810" w:type="dxa"/>
            <w:vAlign w:val="center"/>
          </w:tcPr>
          <w:p>
            <w:pPr>
              <w:spacing w:line="360" w:lineRule="exact"/>
              <w:jc w:val="center"/>
              <w:rPr>
                <w:color w:val="000000"/>
                <w:szCs w:val="21"/>
              </w:rPr>
            </w:pPr>
            <w:r>
              <w:rPr>
                <w:rFonts w:hint="eastAsia"/>
                <w:color w:val="000000"/>
                <w:szCs w:val="21"/>
              </w:rPr>
              <w:t>一级</w:t>
            </w:r>
          </w:p>
        </w:tc>
        <w:tc>
          <w:tcPr>
            <w:tcW w:w="849" w:type="dxa"/>
            <w:vAlign w:val="center"/>
          </w:tcPr>
          <w:p>
            <w:pPr>
              <w:spacing w:line="360" w:lineRule="exact"/>
              <w:jc w:val="center"/>
              <w:rPr>
                <w:color w:val="000000"/>
                <w:szCs w:val="21"/>
              </w:rPr>
            </w:pPr>
            <w:r>
              <w:rPr>
                <w:rFonts w:hint="eastAsia"/>
                <w:color w:val="000000"/>
                <w:szCs w:val="21"/>
              </w:rPr>
              <w:t>达成</w:t>
            </w:r>
          </w:p>
        </w:tc>
      </w:tr>
    </w:tbl>
    <w:p>
      <w:pPr>
        <w:spacing w:line="560" w:lineRule="exact"/>
        <w:ind w:firstLine="640" w:firstLineChars="200"/>
        <w:rPr>
          <w:rFonts w:hint="eastAsia" w:ascii="仿宋_GB2312" w:eastAsia="仿宋_GB2312"/>
          <w:sz w:val="32"/>
          <w:szCs w:val="32"/>
        </w:rPr>
      </w:pPr>
      <w:r>
        <w:rPr>
          <w:rFonts w:hint="eastAsia" w:ascii="黑体" w:hAnsi="黑体" w:eastAsia="黑体"/>
          <w:sz w:val="32"/>
          <w:szCs w:val="32"/>
        </w:rPr>
        <w:t>五、展望</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1.持续对清洁生产审核中已实施的中高费方案运行情况进行分析、总结，找出存在的不足和具有清洁生产潜力的环节进行优化升级，并对取得的效益进行推广使用。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2.继续加强对职工的宣传和教育，使每个员工都能认识到只有加强清洁生产，才能保证企业的可持续发展。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3.以清洁生产为导向，淘汰落后产能设备，尽最大努力减少污染物的排放，以应对新的铝行清洁生产评价指标体系。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4.进行铝土矿浮选脱硅技术改造提高原料的铝硅比，持续关注中低品位铝土矿工艺处理新工艺的研究进展，积极争取示范。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5.积极总结“电解槽稳流保温节能技术改造”在200kA系列电解槽上的运行经验和成果，及时应用于350kA系列电解槽，以提高电解槽运行水平。</w:t>
      </w:r>
    </w:p>
    <w:p>
      <w:pPr>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6.提前研究电解铝生产的“单位产品排水量”和“单位产品排气量”等指标的应对方案，积极进行相关技术改造</w:t>
      </w:r>
      <w:r>
        <w:rPr>
          <w:rFonts w:hint="eastAsia" w:ascii="仿宋_GB2312" w:eastAsia="仿宋_GB2312"/>
          <w:sz w:val="32"/>
          <w:szCs w:val="32"/>
          <w:lang w:eastAsia="zh-CN"/>
        </w:rPr>
        <w:t>。</w:t>
      </w:r>
    </w:p>
    <w:p>
      <w:pPr>
        <w:spacing w:line="560" w:lineRule="exact"/>
        <w:ind w:firstLine="640" w:firstLineChars="200"/>
        <w:rPr>
          <w:rFonts w:hint="eastAsia" w:ascii="仿宋_GB2312" w:eastAsia="仿宋_GB2312"/>
          <w:sz w:val="32"/>
          <w:szCs w:val="32"/>
          <w:lang w:eastAsia="zh-CN"/>
        </w:rPr>
      </w:pPr>
      <w:bookmarkStart w:id="1" w:name="_GoBack"/>
      <w:bookmarkEnd w:id="1"/>
    </w:p>
    <w:p>
      <w:pPr>
        <w:spacing w:line="560" w:lineRule="exact"/>
        <w:ind w:firstLine="640" w:firstLineChars="200"/>
        <w:jc w:val="right"/>
        <w:rPr>
          <w:rFonts w:hint="eastAsia" w:ascii="仿宋_GB2312" w:eastAsia="仿宋_GB2312"/>
          <w:sz w:val="32"/>
          <w:szCs w:val="32"/>
          <w:lang w:eastAsia="zh-CN"/>
        </w:rPr>
      </w:pPr>
      <w:r>
        <w:rPr>
          <w:rFonts w:hint="eastAsia" w:ascii="仿宋_GB2312" w:eastAsia="仿宋_GB2312"/>
          <w:sz w:val="32"/>
          <w:szCs w:val="32"/>
          <w:lang w:eastAsia="zh-CN"/>
        </w:rPr>
        <w:t>撰稿</w:t>
      </w:r>
      <w:r>
        <w:rPr>
          <w:rFonts w:hint="eastAsia" w:ascii="仿宋_GB2312" w:eastAsia="仿宋_GB2312"/>
          <w:sz w:val="32"/>
          <w:szCs w:val="32"/>
          <w:lang w:val="en-US" w:eastAsia="zh-CN"/>
        </w:rPr>
        <w:t>/</w:t>
      </w:r>
      <w:r>
        <w:rPr>
          <w:rFonts w:hint="eastAsia" w:ascii="仿宋_GB2312" w:eastAsia="仿宋_GB2312"/>
          <w:sz w:val="32"/>
          <w:szCs w:val="32"/>
        </w:rPr>
        <w:t>王怀江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Gungsuh">
    <w:panose1 w:val="02030600000101010101"/>
    <w:charset w:val="81"/>
    <w:family w:val="roman"/>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F4DCB"/>
    <w:rsid w:val="0001600A"/>
    <w:rsid w:val="00016F68"/>
    <w:rsid w:val="00030D04"/>
    <w:rsid w:val="000329BA"/>
    <w:rsid w:val="00043A14"/>
    <w:rsid w:val="000514BC"/>
    <w:rsid w:val="000652D9"/>
    <w:rsid w:val="00086792"/>
    <w:rsid w:val="0009086A"/>
    <w:rsid w:val="000A1821"/>
    <w:rsid w:val="000A4CD6"/>
    <w:rsid w:val="000A53FB"/>
    <w:rsid w:val="000A7C5D"/>
    <w:rsid w:val="000B53E8"/>
    <w:rsid w:val="000C5A14"/>
    <w:rsid w:val="000D10F5"/>
    <w:rsid w:val="000E57F7"/>
    <w:rsid w:val="00132F68"/>
    <w:rsid w:val="00133FC0"/>
    <w:rsid w:val="00141FE2"/>
    <w:rsid w:val="00142B3F"/>
    <w:rsid w:val="001568E8"/>
    <w:rsid w:val="00170523"/>
    <w:rsid w:val="001B2962"/>
    <w:rsid w:val="001D5C29"/>
    <w:rsid w:val="002034AD"/>
    <w:rsid w:val="00205AA6"/>
    <w:rsid w:val="00216297"/>
    <w:rsid w:val="002329D3"/>
    <w:rsid w:val="00261B28"/>
    <w:rsid w:val="002623B3"/>
    <w:rsid w:val="00280899"/>
    <w:rsid w:val="00285CBD"/>
    <w:rsid w:val="0029244C"/>
    <w:rsid w:val="00293F8A"/>
    <w:rsid w:val="002A51F6"/>
    <w:rsid w:val="002B03D1"/>
    <w:rsid w:val="002C1634"/>
    <w:rsid w:val="002D3E02"/>
    <w:rsid w:val="002E5F67"/>
    <w:rsid w:val="00307F1D"/>
    <w:rsid w:val="0033010A"/>
    <w:rsid w:val="00341B07"/>
    <w:rsid w:val="00344B4B"/>
    <w:rsid w:val="003776D0"/>
    <w:rsid w:val="003952D0"/>
    <w:rsid w:val="003B4F92"/>
    <w:rsid w:val="003B75C4"/>
    <w:rsid w:val="003D7141"/>
    <w:rsid w:val="003F2644"/>
    <w:rsid w:val="00413455"/>
    <w:rsid w:val="004172F9"/>
    <w:rsid w:val="00447A98"/>
    <w:rsid w:val="00453067"/>
    <w:rsid w:val="004B0224"/>
    <w:rsid w:val="004D0606"/>
    <w:rsid w:val="004D42BF"/>
    <w:rsid w:val="004E79E9"/>
    <w:rsid w:val="00512CF2"/>
    <w:rsid w:val="00525270"/>
    <w:rsid w:val="00527428"/>
    <w:rsid w:val="0058716A"/>
    <w:rsid w:val="00591BBE"/>
    <w:rsid w:val="005D092E"/>
    <w:rsid w:val="005E3283"/>
    <w:rsid w:val="005F063D"/>
    <w:rsid w:val="005F0FCC"/>
    <w:rsid w:val="00615FCD"/>
    <w:rsid w:val="00623DF2"/>
    <w:rsid w:val="006330F4"/>
    <w:rsid w:val="0067746D"/>
    <w:rsid w:val="00694B6A"/>
    <w:rsid w:val="006B2C88"/>
    <w:rsid w:val="006C63FA"/>
    <w:rsid w:val="006D5BF3"/>
    <w:rsid w:val="006F4DCB"/>
    <w:rsid w:val="006F742F"/>
    <w:rsid w:val="00714809"/>
    <w:rsid w:val="0074259F"/>
    <w:rsid w:val="007523DC"/>
    <w:rsid w:val="00770E7F"/>
    <w:rsid w:val="007A53E7"/>
    <w:rsid w:val="007C039C"/>
    <w:rsid w:val="007D4B42"/>
    <w:rsid w:val="007E22DA"/>
    <w:rsid w:val="007F1091"/>
    <w:rsid w:val="008019F0"/>
    <w:rsid w:val="008262FC"/>
    <w:rsid w:val="00852400"/>
    <w:rsid w:val="00855B80"/>
    <w:rsid w:val="008621BB"/>
    <w:rsid w:val="008926CE"/>
    <w:rsid w:val="00894305"/>
    <w:rsid w:val="008A0E7A"/>
    <w:rsid w:val="008A546E"/>
    <w:rsid w:val="00930757"/>
    <w:rsid w:val="00990C60"/>
    <w:rsid w:val="009A0D83"/>
    <w:rsid w:val="009B4B2D"/>
    <w:rsid w:val="009E54DA"/>
    <w:rsid w:val="00A005A0"/>
    <w:rsid w:val="00A44E9D"/>
    <w:rsid w:val="00A67405"/>
    <w:rsid w:val="00A71EE3"/>
    <w:rsid w:val="00A83D23"/>
    <w:rsid w:val="00A86EE0"/>
    <w:rsid w:val="00A90E35"/>
    <w:rsid w:val="00AA6C46"/>
    <w:rsid w:val="00AC5A22"/>
    <w:rsid w:val="00AC6502"/>
    <w:rsid w:val="00AE1EDB"/>
    <w:rsid w:val="00B2336E"/>
    <w:rsid w:val="00B24B8E"/>
    <w:rsid w:val="00B55C6D"/>
    <w:rsid w:val="00BC4E9D"/>
    <w:rsid w:val="00BD03AD"/>
    <w:rsid w:val="00C077D3"/>
    <w:rsid w:val="00C30020"/>
    <w:rsid w:val="00C34220"/>
    <w:rsid w:val="00C60830"/>
    <w:rsid w:val="00C744EA"/>
    <w:rsid w:val="00C8636C"/>
    <w:rsid w:val="00CA3570"/>
    <w:rsid w:val="00CB48D2"/>
    <w:rsid w:val="00CD76A7"/>
    <w:rsid w:val="00CE3739"/>
    <w:rsid w:val="00D02BB4"/>
    <w:rsid w:val="00D27C66"/>
    <w:rsid w:val="00D31B61"/>
    <w:rsid w:val="00D41253"/>
    <w:rsid w:val="00D54312"/>
    <w:rsid w:val="00D607C5"/>
    <w:rsid w:val="00D652D8"/>
    <w:rsid w:val="00D75300"/>
    <w:rsid w:val="00D77402"/>
    <w:rsid w:val="00DA0341"/>
    <w:rsid w:val="00DA0C9D"/>
    <w:rsid w:val="00DC11D4"/>
    <w:rsid w:val="00DC6D97"/>
    <w:rsid w:val="00E62C94"/>
    <w:rsid w:val="00E81949"/>
    <w:rsid w:val="00E83381"/>
    <w:rsid w:val="00E93E26"/>
    <w:rsid w:val="00E96097"/>
    <w:rsid w:val="00EA790F"/>
    <w:rsid w:val="00EB540B"/>
    <w:rsid w:val="00EB6AFB"/>
    <w:rsid w:val="00EC39A0"/>
    <w:rsid w:val="00ED18CC"/>
    <w:rsid w:val="00F00F9B"/>
    <w:rsid w:val="00F0391E"/>
    <w:rsid w:val="00F051E9"/>
    <w:rsid w:val="00F05285"/>
    <w:rsid w:val="00F110C7"/>
    <w:rsid w:val="00F202FD"/>
    <w:rsid w:val="00F40A19"/>
    <w:rsid w:val="00F46833"/>
    <w:rsid w:val="00F52897"/>
    <w:rsid w:val="00FA7172"/>
    <w:rsid w:val="00FD5291"/>
    <w:rsid w:val="05687C57"/>
    <w:rsid w:val="05D91232"/>
    <w:rsid w:val="087D3FA5"/>
    <w:rsid w:val="0CA31A3B"/>
    <w:rsid w:val="34A454F7"/>
    <w:rsid w:val="4B1D38E1"/>
    <w:rsid w:val="55695B7A"/>
    <w:rsid w:val="5C7207D3"/>
    <w:rsid w:val="656D1B7D"/>
    <w:rsid w:val="7F0A7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Company>
  <Pages>10</Pages>
  <Words>885</Words>
  <Characters>5050</Characters>
  <Lines>42</Lines>
  <Paragraphs>11</Paragraphs>
  <TotalTime>11</TotalTime>
  <ScaleCrop>false</ScaleCrop>
  <LinksUpToDate>false</LinksUpToDate>
  <CharactersWithSpaces>5924</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2020-01-19T05:07:00Z</dcterms:created>
  <dc:creator>唐仁伟</dc:creator>
  <cp:lastModifiedBy>木央</cp:lastModifiedBy>
  <dcterms:modified xsi:type="dcterms:W3CDTF">2021-07-14T08:23:27Z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