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wordWrap/>
        <w:adjustRightInd/>
        <w:snapToGrid/>
        <w:spacing w:line="360" w:lineRule="auto"/>
        <w:ind w:left="0" w:firstLine="0" w:firstLineChars="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西南铝：</w:t>
      </w:r>
    </w:p>
    <w:p>
      <w:pPr>
        <w:widowControl w:val="0"/>
        <w:wordWrap/>
        <w:adjustRightInd/>
        <w:snapToGrid/>
        <w:spacing w:line="360" w:lineRule="auto"/>
        <w:ind w:left="0" w:firstLine="0" w:firstLineChars="0"/>
        <w:jc w:val="center"/>
        <w:textAlignment w:val="auto"/>
        <w:rPr>
          <w:rFonts w:hint="eastAsia" w:ascii="仿宋_GB2312" w:hAnsi="仿宋_GB2312" w:eastAsia="仿宋_GB2312" w:cs="仿宋_GB2312"/>
          <w:b/>
          <w:bCs/>
          <w:sz w:val="32"/>
          <w:szCs w:val="32"/>
          <w:lang w:val="en-US" w:eastAsia="zh-CN"/>
        </w:rPr>
      </w:pPr>
    </w:p>
    <w:p>
      <w:pPr>
        <w:widowControl w:val="0"/>
        <w:wordWrap/>
        <w:adjustRightInd/>
        <w:snapToGrid/>
        <w:spacing w:line="360" w:lineRule="auto"/>
        <w:ind w:left="0" w:firstLine="0" w:firstLineChars="0"/>
        <w:jc w:val="center"/>
        <w:textAlignment w:val="auto"/>
        <w:rPr>
          <w:rFonts w:hint="eastAsia" w:ascii="仿宋_GB2312" w:hAnsi="仿宋_GB2312" w:eastAsia="仿宋_GB2312" w:cs="仿宋_GB2312"/>
          <w:b/>
          <w:bCs/>
          <w:sz w:val="36"/>
          <w:szCs w:val="36"/>
          <w:lang w:val="en-US" w:eastAsia="zh-CN"/>
        </w:rPr>
      </w:pPr>
      <w:r>
        <w:rPr>
          <w:rFonts w:hint="eastAsia" w:ascii="仿宋_GB2312" w:hAnsi="仿宋_GB2312" w:eastAsia="仿宋_GB2312" w:cs="仿宋_GB2312"/>
          <w:b/>
          <w:bCs/>
          <w:sz w:val="36"/>
          <w:szCs w:val="36"/>
          <w:lang w:val="en-US" w:eastAsia="zh-CN"/>
        </w:rPr>
        <w:t>铝加工企业废料循环利用</w:t>
      </w:r>
    </w:p>
    <w:p>
      <w:pPr>
        <w:pStyle w:val="9"/>
        <w:numPr>
          <w:ilvl w:val="0"/>
          <w:numId w:val="0"/>
        </w:numPr>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项目简介</w:t>
      </w:r>
    </w:p>
    <w:p>
      <w:pPr>
        <w:pStyle w:val="9"/>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作为铝加工的第一道工序的西南铝熔铸厂，积极响应习总书记关于“绿水青山就是金山银山”的号召，借助铝加工事业部开展废料循环利用工作的东风，坚持走可持续绿色发展道路</w:t>
      </w:r>
      <w:r>
        <w:rPr>
          <w:rFonts w:hint="eastAsia" w:ascii="仿宋_GB2312" w:hAnsi="仿宋_GB2312" w:eastAsia="仿宋_GB2312" w:cs="仿宋_GB2312"/>
          <w:sz w:val="32"/>
          <w:szCs w:val="32"/>
          <w:lang w:eastAsia="zh-CN"/>
        </w:rPr>
        <w:t>。</w:t>
      </w:r>
    </w:p>
    <w:p>
      <w:pPr>
        <w:pStyle w:val="9"/>
        <w:numPr>
          <w:ilvl w:val="0"/>
          <w:numId w:val="0"/>
        </w:numPr>
        <w:ind w:leftChars="0" w:firstLine="643" w:firstLineChars="200"/>
        <w:rPr>
          <w:rFonts w:hint="eastAsia" w:ascii="仿宋_GB2312" w:hAnsi="仿宋_GB2312" w:eastAsia="仿宋_GB2312" w:cs="仿宋_GB2312"/>
          <w:b/>
          <w:sz w:val="32"/>
          <w:szCs w:val="32"/>
        </w:rPr>
      </w:pPr>
    </w:p>
    <w:p>
      <w:pPr>
        <w:pStyle w:val="9"/>
        <w:numPr>
          <w:ilvl w:val="0"/>
          <w:numId w:val="0"/>
        </w:numPr>
        <w:rPr>
          <w:rFonts w:hint="eastAsia"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eastAsia="zh-CN"/>
        </w:rPr>
        <w:t>项目背景</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经分析，2019年，西南铝熔铸工序废料使用率仅40.67%，远远低于诺贝丽斯、明泰铝业、南山铝业等先进竞争企业。想方设法提高西南铝废料使用率，特别是熔铸工序废料使用率</w:t>
      </w:r>
      <w:r>
        <w:rPr>
          <w:rFonts w:hint="eastAsia" w:ascii="仿宋_GB2312" w:hAnsi="仿宋_GB2312" w:eastAsia="仿宋_GB2312" w:cs="仿宋_GB2312"/>
          <w:sz w:val="32"/>
          <w:szCs w:val="32"/>
          <w:lang w:eastAsia="zh-CN"/>
        </w:rPr>
        <w:t>，成为西南铝降本增效、低碳发展的迫切需要</w:t>
      </w:r>
      <w:r>
        <w:rPr>
          <w:rFonts w:hint="eastAsia" w:ascii="仿宋_GB2312" w:hAnsi="仿宋_GB2312" w:eastAsia="仿宋_GB2312" w:cs="仿宋_GB2312"/>
          <w:sz w:val="32"/>
          <w:szCs w:val="32"/>
        </w:rPr>
        <w:t>。</w:t>
      </w:r>
    </w:p>
    <w:p>
      <w:pPr>
        <w:spacing w:line="560" w:lineRule="exact"/>
        <w:ind w:firstLine="640" w:firstLineChars="200"/>
        <w:jc w:val="left"/>
        <w:rPr>
          <w:rFonts w:hint="eastAsia" w:ascii="仿宋_GB2312" w:hAnsi="仿宋_GB2312" w:eastAsia="仿宋_GB2312" w:cs="仿宋_GB2312"/>
          <w:color w:val="000000"/>
          <w:sz w:val="32"/>
          <w:szCs w:val="32"/>
        </w:rPr>
      </w:pPr>
    </w:p>
    <w:p>
      <w:pPr>
        <w:pStyle w:val="9"/>
        <w:numPr>
          <w:ilvl w:val="0"/>
          <w:numId w:val="0"/>
        </w:numPr>
        <w:rPr>
          <w:rFonts w:hint="eastAsia"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eastAsia="zh-CN"/>
        </w:rPr>
        <w:t>解决方案</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西南铝熔铸厂</w:t>
      </w:r>
      <w:r>
        <w:rPr>
          <w:rFonts w:hint="eastAsia" w:ascii="仿宋_GB2312" w:hAnsi="仿宋_GB2312" w:eastAsia="仿宋_GB2312" w:cs="仿宋_GB2312"/>
          <w:sz w:val="32"/>
          <w:szCs w:val="32"/>
          <w:lang w:eastAsia="zh-CN"/>
        </w:rPr>
        <w:t>经过认真分析研究，提出了通过</w:t>
      </w:r>
      <w:r>
        <w:rPr>
          <w:rFonts w:hint="eastAsia" w:ascii="仿宋_GB2312" w:hAnsi="仿宋_GB2312" w:eastAsia="仿宋_GB2312" w:cs="仿宋_GB2312"/>
          <w:sz w:val="32"/>
          <w:szCs w:val="32"/>
        </w:rPr>
        <w:t>实施100%废料利用实施、不同合金复化锭使用比例工艺攻关、采用合金铝水投料实现熔铸降本、优化废料处置方式及三级碎屑废料分类标准</w:t>
      </w:r>
      <w:r>
        <w:rPr>
          <w:rFonts w:hint="eastAsia" w:ascii="仿宋_GB2312" w:hAnsi="仿宋_GB2312" w:eastAsia="仿宋_GB2312" w:cs="仿宋_GB2312"/>
          <w:sz w:val="32"/>
          <w:szCs w:val="32"/>
          <w:lang w:eastAsia="zh-CN"/>
        </w:rPr>
        <w:t>等措施</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提高</w:t>
      </w:r>
      <w:r>
        <w:rPr>
          <w:rFonts w:hint="eastAsia" w:ascii="仿宋_GB2312" w:hAnsi="仿宋_GB2312" w:eastAsia="仿宋_GB2312" w:cs="仿宋_GB2312"/>
          <w:sz w:val="32"/>
          <w:szCs w:val="32"/>
        </w:rPr>
        <w:t>废料使用率</w:t>
      </w:r>
      <w:r>
        <w:rPr>
          <w:rFonts w:hint="eastAsia" w:ascii="仿宋_GB2312" w:hAnsi="仿宋_GB2312" w:eastAsia="仿宋_GB2312" w:cs="仿宋_GB2312"/>
          <w:sz w:val="32"/>
          <w:szCs w:val="32"/>
          <w:lang w:eastAsia="zh-CN"/>
        </w:rPr>
        <w:t>，达到降本增效和绿色低碳的成效。</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100%废料利用</w:t>
      </w:r>
    </w:p>
    <w:p>
      <w:pPr>
        <w:ind w:firstLine="480" w:firstLineChars="15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100%废料利用存在</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难点</w:t>
      </w:r>
      <w:r>
        <w:rPr>
          <w:rFonts w:hint="eastAsia" w:ascii="仿宋_GB2312" w:hAnsi="仿宋_GB2312" w:eastAsia="仿宋_GB2312" w:cs="仿宋_GB2312"/>
          <w:sz w:val="32"/>
          <w:szCs w:val="32"/>
          <w:lang w:eastAsia="zh-CN"/>
        </w:rPr>
        <w:t>主要是，一是</w:t>
      </w:r>
      <w:r>
        <w:rPr>
          <w:rFonts w:hint="eastAsia" w:ascii="仿宋_GB2312" w:hAnsi="仿宋_GB2312" w:eastAsia="仿宋_GB2312" w:cs="仿宋_GB2312"/>
          <w:sz w:val="32"/>
          <w:szCs w:val="32"/>
        </w:rPr>
        <w:t>采用100%废料投料进行生产时废料使用量大，混料可能性随之增加，如果使用传统取样定性分析仪器，无论是从工作效率上，还是从分析精度上考虑，都已无法满足生产需求。</w:t>
      </w:r>
      <w:r>
        <w:rPr>
          <w:rFonts w:hint="eastAsia" w:ascii="仿宋_GB2312" w:hAnsi="仿宋_GB2312" w:eastAsia="仿宋_GB2312" w:cs="仿宋_GB2312"/>
          <w:sz w:val="32"/>
          <w:szCs w:val="32"/>
          <w:lang w:eastAsia="zh-CN"/>
        </w:rPr>
        <w:t>二是</w:t>
      </w:r>
      <w:r>
        <w:rPr>
          <w:rFonts w:hint="eastAsia" w:ascii="仿宋_GB2312" w:hAnsi="仿宋_GB2312" w:eastAsia="仿宋_GB2312" w:cs="仿宋_GB2312"/>
          <w:sz w:val="32"/>
          <w:szCs w:val="32"/>
        </w:rPr>
        <w:t>100%废料投料时，原料来源更加复杂，如果不能对废料进行更加细致的划分，熔体化学成分超出工艺控制范围的风险将进一步增加。</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sz w:val="32"/>
          <w:szCs w:val="32"/>
        </w:rPr>
        <w:t>随着废料使用率的增加，熔炼炉的装炉效率降低，熔化效率降低，设备能耗增加。</w:t>
      </w:r>
      <w:r>
        <w:rPr>
          <w:rFonts w:hint="eastAsia" w:ascii="仿宋_GB2312" w:hAnsi="仿宋_GB2312" w:eastAsia="仿宋_GB2312" w:cs="仿宋_GB2312"/>
          <w:sz w:val="32"/>
          <w:szCs w:val="32"/>
          <w:lang w:eastAsia="zh-CN"/>
        </w:rPr>
        <w:t>四是</w:t>
      </w:r>
      <w:r>
        <w:rPr>
          <w:rFonts w:hint="eastAsia" w:ascii="仿宋_GB2312" w:hAnsi="仿宋_GB2312" w:eastAsia="仿宋_GB2312" w:cs="仿宋_GB2312"/>
          <w:sz w:val="32"/>
          <w:szCs w:val="32"/>
        </w:rPr>
        <w:t>在使用100%废料投料时，需要通过各种手段对熔体进行处理，控制渣、气含量，减少废料组织遗传效应，确保产品质量稳定。</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升级分析仪器，提升分析效率和分析精度</w:t>
      </w:r>
    </w:p>
    <w:p>
      <w:pPr>
        <w:spacing w:line="560" w:lineRule="exact"/>
        <w:ind w:firstLine="480" w:firstLineChars="150"/>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传统使用的分析仪器为固定式仪器，无法移动，需要收料人员先从废料上取样，再使用仪器进行分析，且只能进行定性分析，即只能判定“有/无某元素”。为提升收料工序检测效率和检测精度，西南铝熔铸厂</w:t>
      </w:r>
      <w:r>
        <w:rPr>
          <w:rFonts w:hint="eastAsia" w:ascii="仿宋_GB2312" w:hAnsi="仿宋_GB2312" w:eastAsia="仿宋_GB2312" w:cs="仿宋_GB2312"/>
          <w:sz w:val="32"/>
          <w:szCs w:val="32"/>
          <w:lang w:eastAsia="zh-CN"/>
        </w:rPr>
        <w:t>对比</w:t>
      </w:r>
      <w:r>
        <w:rPr>
          <w:rFonts w:hint="eastAsia" w:ascii="仿宋_GB2312" w:hAnsi="仿宋_GB2312" w:eastAsia="仿宋_GB2312" w:cs="仿宋_GB2312"/>
          <w:sz w:val="32"/>
          <w:szCs w:val="32"/>
        </w:rPr>
        <w:t>国内外知名分析检测设备，购入两台TSI手持式激光金属分析仪，和传统使用的分析仪器相比，TSI手持式激光金属分析仪具备可移动性、分析速度快、可定量分析的特点</w:t>
      </w:r>
      <w:r>
        <w:rPr>
          <w:rFonts w:hint="eastAsia" w:ascii="仿宋_GB2312" w:hAnsi="仿宋_GB2312" w:eastAsia="仿宋_GB2312" w:cs="仿宋_GB2312"/>
          <w:color w:val="000000"/>
          <w:sz w:val="32"/>
          <w:szCs w:val="32"/>
        </w:rPr>
        <w:t>。</w:t>
      </w:r>
    </w:p>
    <w:p>
      <w:pPr>
        <w:spacing w:line="560" w:lineRule="exact"/>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细化废料分组，提高产品化学成分控制能力</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在采用100%废料投料时，不同用途的同一种合金化学成分可能差异极大，以2A12-7和2A12-8合金为例，其Cu元素含量差值在0.1%到0.85%之间。因此，西南铝对不同等级废料分组进行精细化管理，以三级碎屑分组进行优化为例，三级碎屑分组由以前的20个合金组优化为17个单列合金和12个合金组，大大提高了炉前配料计算的准确性，降低了化学成分超控制范围的可能性。</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优化炉料比例，实现废料使用率和能耗双赢</w:t>
      </w:r>
    </w:p>
    <w:p>
      <w:pPr>
        <w:spacing w:line="560" w:lineRule="exact"/>
        <w:ind w:firstLine="480" w:firstLineChars="1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100%废料投料试验对炉料比例要求极高，既要考虑熔炼炉装炉效率和熔化效率，又要考虑设备能耗，西南铝通过不断试验进行数据积累和经验积累，摸索出一套较为成熟的废料使用方法。</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优化工艺，提高检测手段，确保产品质量</w:t>
      </w:r>
    </w:p>
    <w:p>
      <w:pPr>
        <w:spacing w:line="560" w:lineRule="exact"/>
        <w:ind w:firstLine="480" w:firstLineChars="1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在使用100%废料投料时，炉料熔化后，熔体内渣、气含量普遍增加，</w:t>
      </w:r>
      <w:r>
        <w:rPr>
          <w:rFonts w:hint="eastAsia" w:ascii="仿宋_GB2312" w:hAnsi="仿宋_GB2312" w:eastAsia="仿宋_GB2312" w:cs="仿宋_GB2312"/>
          <w:color w:val="000000"/>
          <w:sz w:val="32"/>
          <w:szCs w:val="32"/>
          <w:lang w:eastAsia="zh-CN"/>
        </w:rPr>
        <w:t>为此</w:t>
      </w:r>
      <w:r>
        <w:rPr>
          <w:rFonts w:hint="eastAsia" w:ascii="仿宋_GB2312" w:hAnsi="仿宋_GB2312" w:eastAsia="仿宋_GB2312" w:cs="仿宋_GB2312"/>
          <w:color w:val="000000"/>
          <w:sz w:val="32"/>
          <w:szCs w:val="32"/>
        </w:rPr>
        <w:t>西南铝优化改进熔铸工艺，在熔炼炉和静置炉各增加一次炉内精炼，并将在线过滤装置过滤板使用次数由三次降低为两次，确保熔体质量。同时，购买两台进口ABB测氢仪和一台测渣仪，监测熔体中渣、气含量，为产品质量保驾护航。</w:t>
      </w:r>
    </w:p>
    <w:p>
      <w:pPr>
        <w:numPr>
          <w:ilvl w:val="0"/>
          <w:numId w:val="0"/>
        </w:num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color w:val="000000"/>
          <w:sz w:val="32"/>
          <w:szCs w:val="32"/>
          <w:lang w:eastAsia="zh-CN"/>
        </w:rPr>
        <w:t>二</w:t>
      </w:r>
      <w:r>
        <w:rPr>
          <w:rFonts w:hint="eastAsia" w:ascii="仿宋_GB2312" w:hAnsi="仿宋_GB2312" w:eastAsia="仿宋_GB2312" w:cs="仿宋_GB2312"/>
          <w:b/>
          <w:bCs/>
          <w:color w:val="000000"/>
          <w:sz w:val="32"/>
          <w:szCs w:val="32"/>
        </w:rPr>
        <w:t>、</w:t>
      </w:r>
      <w:r>
        <w:rPr>
          <w:rFonts w:hint="eastAsia" w:ascii="仿宋_GB2312" w:hAnsi="仿宋_GB2312" w:eastAsia="仿宋_GB2312" w:cs="仿宋_GB2312"/>
          <w:b/>
          <w:bCs/>
          <w:sz w:val="32"/>
          <w:szCs w:val="32"/>
        </w:rPr>
        <w:t>不同合金复化锭使用比例工艺攻关</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针对</w:t>
      </w:r>
      <w:r>
        <w:rPr>
          <w:rFonts w:hint="eastAsia" w:ascii="仿宋_GB2312" w:hAnsi="仿宋_GB2312" w:eastAsia="仿宋_GB2312" w:cs="仿宋_GB2312"/>
          <w:sz w:val="32"/>
          <w:szCs w:val="32"/>
        </w:rPr>
        <w:t>不同合金复化锭生产及使用存在易混料、烧损大、组织遗传效应明显、使用比例不确定</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主要问题</w:t>
      </w:r>
      <w:r>
        <w:rPr>
          <w:rFonts w:hint="eastAsia" w:ascii="仿宋_GB2312" w:hAnsi="仿宋_GB2312" w:eastAsia="仿宋_GB2312" w:cs="仿宋_GB2312"/>
          <w:sz w:val="32"/>
          <w:szCs w:val="32"/>
          <w:lang w:eastAsia="zh-CN"/>
        </w:rPr>
        <w:t>，西南铝开展工艺攻关</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强化过程控制，确保产品质量</w:t>
      </w:r>
    </w:p>
    <w:p>
      <w:pPr>
        <w:spacing w:line="560" w:lineRule="exact"/>
        <w:ind w:firstLine="480" w:firstLineChars="1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级碎屑主要在锯切、铣面、铣边等加工工序产生，由于加工工序加工合金品种多，加工产品化学成分复杂，在三级碎屑的收集、储存、转运过程中，混料的可能性急剧增加。为从源头上杜绝三级碎屑混料，在三级碎屑入厂验收时，收料人员需要在碎屑3-6处不同位置取样进行化学成分分析，所有样品的化学成分分析结果符合验收标准后方可收料。为防止储存过程中出现混料，对物料存放区域按合金品种进行划分，不同区域进行物理隔离，经验收合格后的三级碎屑立即转入对应区域定置存放。为防止转运过程中混料，使用带有合金牌号标识的专用料箱对三级碎屑进行转运。同时，为严格控制生产过程中杂质成分混入，</w:t>
      </w:r>
      <w:r>
        <w:rPr>
          <w:rFonts w:hint="eastAsia" w:ascii="仿宋_GB2312" w:hAnsi="仿宋_GB2312" w:eastAsia="仿宋_GB2312" w:cs="仿宋_GB2312"/>
          <w:color w:val="000000"/>
          <w:sz w:val="32"/>
          <w:szCs w:val="32"/>
          <w:lang w:eastAsia="zh-CN"/>
        </w:rPr>
        <w:t>在</w:t>
      </w:r>
      <w:r>
        <w:rPr>
          <w:rFonts w:hint="eastAsia" w:ascii="仿宋_GB2312" w:hAnsi="仿宋_GB2312" w:eastAsia="仿宋_GB2312" w:cs="仿宋_GB2312"/>
          <w:color w:val="000000"/>
          <w:sz w:val="32"/>
          <w:szCs w:val="32"/>
        </w:rPr>
        <w:t>生产现场使用铝板进行物理隔离，防止现场其它合金碎屑和杂物污染。复化锭生产过程中接触的工具、流槽、浇铸工具等均喷涂涂料，避免Fe、Si污染和非金属夹杂物带入。</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合理利用生产设备特性，降低烧损</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由于三级碎屑具有烧损率高的特点，西南铝废料循环项目组经过多次讨论商议，最终选用16</w:t>
      </w:r>
      <w:r>
        <w:rPr>
          <w:rFonts w:hint="eastAsia" w:ascii="仿宋_GB2312" w:hAnsi="仿宋_GB2312" w:eastAsia="仿宋_GB2312" w:cs="仿宋_GB2312"/>
          <w:color w:val="000000"/>
          <w:sz w:val="32"/>
          <w:szCs w:val="32"/>
          <w:lang w:eastAsia="zh-CN"/>
        </w:rPr>
        <w:t>吨</w:t>
      </w:r>
      <w:r>
        <w:rPr>
          <w:rFonts w:hint="eastAsia" w:ascii="仿宋_GB2312" w:hAnsi="仿宋_GB2312" w:eastAsia="仿宋_GB2312" w:cs="仿宋_GB2312"/>
          <w:color w:val="000000"/>
          <w:sz w:val="32"/>
          <w:szCs w:val="32"/>
        </w:rPr>
        <w:t>双室炉进行三级碎屑的复化生产。双室炉主要由加料室和加热室两部分组成，加料室的主要作用是利用高温铝液对三级碎屑进行进行烫化，减少三级碎屑熔化过程的烧损率，熔化后的铝液通过两个腔体之间的通道由加料室转入加热室进行低温保温。合理利用双室炉的优势，将加热熔化和金属保温分开进行控制，使三级碎屑熔化时的烧损率降低到3%以下。</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优化改进生产工艺，减少复化锭组织遗传效应</w:t>
      </w:r>
    </w:p>
    <w:p>
      <w:pPr>
        <w:spacing w:line="560" w:lineRule="exact"/>
        <w:ind w:firstLine="480" w:firstLineChars="1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复化锭浇铸后经过自然冷却成型，成型后的复化锭晶粒度偏大，组织遗传效应明显，对铸造铝合金的组织性能影响大，无法满足高合金化产品的生产需求。为解决这一技术难题，在双室炉熔炼过程中增加除气装置，降低熔体渣含量和氢含量，提升熔体清洁度，同时增加熔体在线过滤装置，对流槽定期进行修补及喷刷涂料，确保熔体洁净，满足复化锭品质。</w:t>
      </w:r>
    </w:p>
    <w:p>
      <w:pPr>
        <w:spacing w:line="560" w:lineRule="exact"/>
        <w:ind w:firstLine="480" w:firstLineChars="1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参考铝合金成型冷却工艺，对复化锭冷却工艺进行优化改进，在复化锭浇铸成型后增加喷水冷却（冷却强度介于直接水冷和水雾冷却之间），使外表面开始冷却的高温复化锭快速冷却，达到细化晶粒的效果。</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加强要素管控，确保试验数据准确性</w:t>
      </w:r>
    </w:p>
    <w:p>
      <w:pPr>
        <w:spacing w:line="560" w:lineRule="exact"/>
        <w:ind w:firstLine="480" w:firstLineChars="1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先</w:t>
      </w:r>
      <w:r>
        <w:rPr>
          <w:rFonts w:hint="eastAsia" w:ascii="仿宋_GB2312" w:hAnsi="仿宋_GB2312" w:eastAsia="仿宋_GB2312" w:cs="仿宋_GB2312"/>
          <w:color w:val="000000"/>
          <w:sz w:val="32"/>
          <w:szCs w:val="32"/>
        </w:rPr>
        <w:t>对各要素点进行确认，</w:t>
      </w:r>
      <w:r>
        <w:rPr>
          <w:rFonts w:hint="eastAsia" w:ascii="仿宋_GB2312" w:hAnsi="仿宋_GB2312" w:eastAsia="仿宋_GB2312" w:cs="仿宋_GB2312"/>
          <w:color w:val="000000"/>
          <w:sz w:val="32"/>
          <w:szCs w:val="32"/>
          <w:lang w:eastAsia="zh-CN"/>
        </w:rPr>
        <w:t>再</w:t>
      </w:r>
      <w:r>
        <w:rPr>
          <w:rFonts w:hint="eastAsia" w:ascii="仿宋_GB2312" w:hAnsi="仿宋_GB2312" w:eastAsia="仿宋_GB2312" w:cs="仿宋_GB2312"/>
          <w:color w:val="000000"/>
          <w:sz w:val="32"/>
          <w:szCs w:val="32"/>
        </w:rPr>
        <w:t>通过小批量试验</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中批量验证</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大批量推广的方式进行试验</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以铸锭检测指标为依据，小心求证，大胆创新，多轮试验后找到复化锭使用率和铸锭各项检测指标的临界点，最终确定各合金品种复化锭的使用比例。</w:t>
      </w:r>
    </w:p>
    <w:p>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三</w:t>
      </w:r>
      <w:r>
        <w:rPr>
          <w:rFonts w:hint="eastAsia" w:ascii="仿宋_GB2312" w:hAnsi="仿宋_GB2312" w:eastAsia="仿宋_GB2312" w:cs="仿宋_GB2312"/>
          <w:b/>
          <w:bCs/>
          <w:color w:val="000000"/>
          <w:sz w:val="32"/>
          <w:szCs w:val="32"/>
          <w:lang w:eastAsia="zh-CN"/>
        </w:rPr>
        <w:t>、</w:t>
      </w:r>
      <w:r>
        <w:rPr>
          <w:rFonts w:hint="eastAsia" w:ascii="仿宋_GB2312" w:hAnsi="仿宋_GB2312" w:eastAsia="仿宋_GB2312" w:cs="仿宋_GB2312"/>
          <w:b/>
          <w:bCs/>
          <w:color w:val="000000"/>
          <w:sz w:val="32"/>
          <w:szCs w:val="32"/>
        </w:rPr>
        <w:t>采用合金铝水投料实现熔铸降本</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由回收废料进行复化而成的合金铝水</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rPr>
        <w:t>批量</w:t>
      </w:r>
      <w:r>
        <w:rPr>
          <w:rFonts w:hint="eastAsia" w:ascii="仿宋_GB2312" w:hAnsi="仿宋_GB2312" w:eastAsia="仿宋_GB2312" w:cs="仿宋_GB2312"/>
          <w:sz w:val="32"/>
          <w:szCs w:val="32"/>
          <w:lang w:eastAsia="zh-CN"/>
        </w:rPr>
        <w:t>使用过程中</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关键是要做好</w:t>
      </w:r>
      <w:r>
        <w:rPr>
          <w:rFonts w:hint="eastAsia" w:ascii="仿宋_GB2312" w:hAnsi="仿宋_GB2312" w:eastAsia="仿宋_GB2312" w:cs="仿宋_GB2312"/>
          <w:sz w:val="32"/>
          <w:szCs w:val="32"/>
        </w:rPr>
        <w:t>工艺认证和质量把控。</w:t>
      </w:r>
    </w:p>
    <w:p>
      <w:pPr>
        <w:numPr>
          <w:ilvl w:val="0"/>
          <w:numId w:val="1"/>
        </w:numPr>
        <w:spacing w:line="560" w:lineRule="exact"/>
        <w:ind w:firstLine="800" w:firstLineChars="2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周详考虑，确保安全</w:t>
      </w:r>
    </w:p>
    <w:p>
      <w:pPr>
        <w:numPr>
          <w:ilvl w:val="0"/>
          <w:numId w:val="0"/>
        </w:num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有效管控风险，成立调研小组。对青海铝及青海丰禾铝等长时间使用铝液的厂家进行了走访，结合其经验，制定相关操作措施。一是实地考察重庆新格，对其运输车辆和铝液容器提出要求，运输车辆和铝液容器必须全封闭，铝液容器不能过大，铝液由新格的操作人员到现场用叉车通过导料槽加入熔铸厂的炉内；二是制定专门的铝液使用安全操作规程，从铝液叉车的运行路线、加入的方式和现场监督都进行了规范。同时，还制定了铝液泄露、铝液冒槽等应急预案；三是对所有进行铝液操作的职工进行安全培训。</w:t>
      </w:r>
    </w:p>
    <w:p>
      <w:pPr>
        <w:numPr>
          <w:ilvl w:val="0"/>
          <w:numId w:val="1"/>
        </w:numPr>
        <w:spacing w:line="560" w:lineRule="exact"/>
        <w:ind w:left="0" w:leftChars="0" w:firstLine="800" w:firstLineChars="2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严格要求，确保质量。</w:t>
      </w:r>
    </w:p>
    <w:p>
      <w:pPr>
        <w:numPr>
          <w:ilvl w:val="0"/>
          <w:numId w:val="0"/>
        </w:num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从2019年1月份开始，分别进行了三轮三批次的工艺验证，从熔铸到轧制</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最终到用户使用，确保所使用的铝水对铸锭冶金质量无任何影响后，</w:t>
      </w:r>
      <w:r>
        <w:rPr>
          <w:rFonts w:hint="eastAsia" w:ascii="仿宋_GB2312" w:hAnsi="仿宋_GB2312" w:eastAsia="仿宋_GB2312" w:cs="仿宋_GB2312"/>
          <w:color w:val="000000"/>
          <w:sz w:val="32"/>
          <w:szCs w:val="32"/>
          <w:lang w:eastAsia="zh-CN"/>
        </w:rPr>
        <w:t>方可</w:t>
      </w:r>
      <w:r>
        <w:rPr>
          <w:rFonts w:hint="eastAsia" w:ascii="仿宋_GB2312" w:hAnsi="仿宋_GB2312" w:eastAsia="仿宋_GB2312" w:cs="仿宋_GB2312"/>
          <w:color w:val="000000"/>
          <w:sz w:val="32"/>
          <w:szCs w:val="32"/>
        </w:rPr>
        <w:t>继续批量使用。</w:t>
      </w:r>
    </w:p>
    <w:p>
      <w:pPr>
        <w:numPr>
          <w:ilvl w:val="0"/>
          <w:numId w:val="0"/>
        </w:num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严格规范</w:t>
      </w:r>
      <w:r>
        <w:rPr>
          <w:rFonts w:hint="eastAsia" w:ascii="仿宋_GB2312" w:hAnsi="仿宋_GB2312" w:eastAsia="仿宋_GB2312" w:cs="仿宋_GB2312"/>
          <w:color w:val="000000"/>
          <w:sz w:val="32"/>
          <w:szCs w:val="32"/>
        </w:rPr>
        <w:t>每炉料的合金铝水的</w:t>
      </w:r>
      <w:r>
        <w:rPr>
          <w:rFonts w:hint="eastAsia" w:ascii="仿宋_GB2312" w:hAnsi="仿宋_GB2312" w:eastAsia="仿宋_GB2312" w:cs="仿宋_GB2312"/>
          <w:color w:val="000000"/>
          <w:sz w:val="32"/>
          <w:szCs w:val="32"/>
          <w:lang w:eastAsia="zh-CN"/>
        </w:rPr>
        <w:t>入炉温度、加入时间和</w:t>
      </w:r>
      <w:r>
        <w:rPr>
          <w:rFonts w:hint="eastAsia" w:ascii="仿宋_GB2312" w:hAnsi="仿宋_GB2312" w:eastAsia="仿宋_GB2312" w:cs="仿宋_GB2312"/>
          <w:color w:val="000000"/>
          <w:sz w:val="32"/>
          <w:szCs w:val="32"/>
        </w:rPr>
        <w:t>使用量，</w:t>
      </w:r>
      <w:r>
        <w:rPr>
          <w:rFonts w:hint="eastAsia" w:ascii="仿宋_GB2312" w:hAnsi="仿宋_GB2312" w:eastAsia="仿宋_GB2312" w:cs="仿宋_GB2312"/>
          <w:color w:val="000000"/>
          <w:sz w:val="32"/>
          <w:szCs w:val="32"/>
          <w:lang w:eastAsia="zh-CN"/>
        </w:rPr>
        <w:t>如</w:t>
      </w:r>
      <w:r>
        <w:rPr>
          <w:rFonts w:hint="eastAsia" w:ascii="仿宋_GB2312" w:hAnsi="仿宋_GB2312" w:eastAsia="仿宋_GB2312" w:cs="仿宋_GB2312"/>
          <w:color w:val="000000"/>
          <w:sz w:val="32"/>
          <w:szCs w:val="32"/>
        </w:rPr>
        <w:t>每炉料铝水使用比例不大于45%</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以达到使用的最佳效果。</w:t>
      </w:r>
    </w:p>
    <w:p>
      <w:pPr>
        <w:spacing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四</w:t>
      </w:r>
      <w:r>
        <w:rPr>
          <w:rFonts w:hint="eastAsia" w:ascii="仿宋_GB2312" w:hAnsi="仿宋_GB2312" w:eastAsia="仿宋_GB2312" w:cs="仿宋_GB2312"/>
          <w:b/>
          <w:bCs/>
          <w:color w:val="000000"/>
          <w:sz w:val="32"/>
          <w:szCs w:val="32"/>
          <w:lang w:eastAsia="zh-CN"/>
        </w:rPr>
        <w:t>、</w:t>
      </w:r>
      <w:r>
        <w:rPr>
          <w:rFonts w:hint="eastAsia" w:ascii="仿宋_GB2312" w:hAnsi="仿宋_GB2312" w:eastAsia="仿宋_GB2312" w:cs="仿宋_GB2312"/>
          <w:b/>
          <w:bCs/>
          <w:color w:val="000000"/>
          <w:sz w:val="32"/>
          <w:szCs w:val="32"/>
        </w:rPr>
        <w:t>优化废料处置方式及三级碎屑废料分类标准</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从上至下，高度重视。针对上述问题，</w:t>
      </w:r>
      <w:r>
        <w:rPr>
          <w:rFonts w:hint="eastAsia" w:ascii="仿宋_GB2312" w:hAnsi="仿宋_GB2312" w:eastAsia="仿宋_GB2312" w:cs="仿宋_GB2312"/>
          <w:color w:val="000000"/>
          <w:sz w:val="32"/>
          <w:szCs w:val="32"/>
          <w:lang w:eastAsia="zh-CN"/>
        </w:rPr>
        <w:t>西南铝成立了</w:t>
      </w:r>
      <w:r>
        <w:rPr>
          <w:rFonts w:hint="eastAsia" w:ascii="仿宋_GB2312" w:hAnsi="仿宋_GB2312" w:eastAsia="仿宋_GB2312" w:cs="仿宋_GB2312"/>
          <w:color w:val="000000"/>
          <w:sz w:val="32"/>
          <w:szCs w:val="32"/>
        </w:rPr>
        <w:t>废料循环利用项目小组，集结了生产、工艺、技术、设备等各方面的人才，熔铸厂成立了</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提高废料消化量</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攻关项目小组，做到了高度重视、层层落实。</w:t>
      </w:r>
    </w:p>
    <w:p>
      <w:pPr>
        <w:spacing w:line="560" w:lineRule="exact"/>
        <w:ind w:firstLine="480" w:firstLineChars="1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优化三级碎屑分类工艺标准，将原有的15种三级碎屑分类增加至28种，其中纯合金堆放的碎屑17种，主要有1系、2219、2A12、3003、5052、5083、6061、7050等，按组别堆放的碎屑有11种，主要有铝铜镁锰组、铝铜镁硅组、镁锰组、高镍组等。同时加强碎屑分类储存的管理工作，新建碎屑堆场，挂牌标识，杜绝混料，以提高</w:t>
      </w:r>
      <w:bookmarkStart w:id="0" w:name="OLE_LINK4"/>
      <w:r>
        <w:rPr>
          <w:rFonts w:hint="eastAsia" w:ascii="仿宋_GB2312" w:hAnsi="仿宋_GB2312" w:eastAsia="仿宋_GB2312" w:cs="仿宋_GB2312"/>
          <w:color w:val="000000"/>
          <w:sz w:val="32"/>
          <w:szCs w:val="32"/>
        </w:rPr>
        <w:t>碎屑</w:t>
      </w:r>
      <w:bookmarkEnd w:id="0"/>
      <w:r>
        <w:rPr>
          <w:rFonts w:hint="eastAsia" w:ascii="仿宋_GB2312" w:hAnsi="仿宋_GB2312" w:eastAsia="仿宋_GB2312" w:cs="仿宋_GB2312"/>
          <w:color w:val="000000"/>
          <w:sz w:val="32"/>
          <w:szCs w:val="32"/>
        </w:rPr>
        <w:t>回炉使用的操作性。</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优化《重熔用铝锭及废料使用规定》，将部分批量较大的合金工艺废料使用率上限提高，例如3104罐料合金废料使用率上限提至80%，另外，开展了2A12、7075等合金全废料使用、三级碎屑直接回炉使用的系列试验，并进行推广，以解决工艺限制。</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恢复实业总公司双室炉将三级碎屑复化成铝锭的业务，优化复化工艺及标准，开展复化锭回炉使用研究，优化内部考核方式及结算价格，调动相关单位和人员使用三级碎屑的积极性。</w:t>
      </w:r>
    </w:p>
    <w:p>
      <w:pPr>
        <w:ind w:firstLine="640" w:firstLineChars="200"/>
        <w:rPr>
          <w:rFonts w:hint="eastAsia" w:ascii="仿宋_GB2312" w:hAnsi="仿宋_GB2312" w:eastAsia="仿宋_GB2312" w:cs="仿宋_GB2312"/>
          <w:sz w:val="32"/>
          <w:szCs w:val="32"/>
        </w:rPr>
      </w:pPr>
    </w:p>
    <w:p>
      <w:pPr>
        <w:pStyle w:val="9"/>
        <w:numPr>
          <w:ilvl w:val="0"/>
          <w:numId w:val="0"/>
        </w:num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b/>
          <w:sz w:val="32"/>
          <w:szCs w:val="32"/>
        </w:rPr>
        <w:t>成效</w:t>
      </w:r>
    </w:p>
    <w:p>
      <w:pPr>
        <w:pStyle w:val="10"/>
        <w:snapToGrid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通过本项目的实施，大大增强了废料绿色循环利用</w:t>
      </w:r>
      <w:r>
        <w:rPr>
          <w:rFonts w:hint="eastAsia" w:ascii="仿宋_GB2312" w:hAnsi="仿宋_GB2312" w:eastAsia="仿宋_GB2312" w:cs="仿宋_GB2312"/>
          <w:sz w:val="32"/>
          <w:szCs w:val="32"/>
          <w:lang w:eastAsia="zh-CN"/>
        </w:rPr>
        <w:t>效率</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熔铸工序直接回炉废料使用率由40.26%提高到42.82%</w:t>
      </w:r>
      <w:r>
        <w:rPr>
          <w:rFonts w:hint="eastAsia" w:ascii="仿宋_GB2312" w:hAnsi="仿宋_GB2312" w:eastAsia="仿宋_GB2312" w:cs="仿宋_GB2312"/>
          <w:sz w:val="32"/>
          <w:szCs w:val="32"/>
          <w:lang w:eastAsia="zh-CN"/>
        </w:rPr>
        <w:t>，全年</w:t>
      </w:r>
      <w:r>
        <w:rPr>
          <w:rFonts w:hint="eastAsia" w:ascii="仿宋_GB2312" w:hAnsi="仿宋_GB2312" w:eastAsia="仿宋_GB2312" w:cs="仿宋_GB2312"/>
          <w:sz w:val="32"/>
          <w:szCs w:val="32"/>
        </w:rPr>
        <w:t>废料使用总量190819吨。</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高合金三级废料循环(合金铝水、复化锭)使用复化锭3023.84吨，碎屑使用量3038.092吨、复化锭3023.84吨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合金铝水使用量18817.78吨。</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废料循环使用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2020</w:t>
      </w:r>
      <w:bookmarkStart w:id="1" w:name="_GoBack"/>
      <w:bookmarkEnd w:id="1"/>
      <w:r>
        <w:rPr>
          <w:rFonts w:hint="eastAsia"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eastAsia="zh-CN"/>
        </w:rPr>
        <w:t>实现</w:t>
      </w:r>
      <w:r>
        <w:rPr>
          <w:rFonts w:hint="eastAsia" w:ascii="仿宋_GB2312" w:hAnsi="仿宋_GB2312" w:eastAsia="仿宋_GB2312" w:cs="仿宋_GB2312"/>
          <w:sz w:val="32"/>
          <w:szCs w:val="32"/>
        </w:rPr>
        <w:t>降本1309.9万元。</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四个案例成功入选中铝</w:t>
      </w:r>
      <w:r>
        <w:rPr>
          <w:rFonts w:hint="eastAsia" w:ascii="仿宋_GB2312" w:hAnsi="仿宋_GB2312" w:eastAsia="仿宋_GB2312" w:cs="仿宋_GB2312"/>
          <w:sz w:val="32"/>
          <w:szCs w:val="32"/>
          <w:lang w:eastAsia="zh-CN"/>
        </w:rPr>
        <w:t>集团铝加工企业</w:t>
      </w:r>
      <w:r>
        <w:rPr>
          <w:rFonts w:hint="eastAsia" w:ascii="仿宋_GB2312" w:hAnsi="仿宋_GB2312" w:eastAsia="仿宋_GB2312" w:cs="仿宋_GB2312"/>
          <w:sz w:val="32"/>
          <w:szCs w:val="32"/>
        </w:rPr>
        <w:t>废料循环利用优秀案例</w:t>
      </w:r>
      <w:r>
        <w:rPr>
          <w:rFonts w:hint="eastAsia" w:ascii="仿宋_GB2312" w:hAnsi="仿宋_GB2312" w:eastAsia="仿宋_GB2312" w:cs="仿宋_GB2312"/>
          <w:sz w:val="32"/>
          <w:szCs w:val="32"/>
          <w:lang w:eastAsia="zh-CN"/>
        </w:rPr>
        <w:t>。</w:t>
      </w:r>
    </w:p>
    <w:p>
      <w:pPr>
        <w:pStyle w:val="10"/>
        <w:snapToGrid w:val="0"/>
        <w:spacing w:line="560" w:lineRule="exact"/>
        <w:ind w:firstLine="0" w:firstLineChars="0"/>
        <w:jc w:val="left"/>
        <w:rPr>
          <w:rFonts w:hint="eastAsia" w:ascii="仿宋_GB2312" w:hAnsi="仿宋_GB2312" w:eastAsia="仿宋_GB2312" w:cs="仿宋_GB2312"/>
          <w:sz w:val="32"/>
          <w:szCs w:val="32"/>
        </w:rPr>
      </w:pPr>
    </w:p>
    <w:p>
      <w:pPr>
        <w:pStyle w:val="10"/>
        <w:snapToGrid w:val="0"/>
        <w:ind w:left="496"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inline distT="0" distB="0" distL="0" distR="0">
            <wp:extent cx="4657725" cy="3690620"/>
            <wp:effectExtent l="0" t="0" r="0" b="5080"/>
            <wp:docPr id="14" name="图片 14"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未标题-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4674172" cy="3703827"/>
                    </a:xfrm>
                    <a:prstGeom prst="rect">
                      <a:avLst/>
                    </a:prstGeom>
                    <a:noFill/>
                    <a:ln>
                      <a:noFill/>
                    </a:ln>
                  </pic:spPr>
                </pic:pic>
              </a:graphicData>
            </a:graphic>
          </wp:inline>
        </w:drawing>
      </w:r>
    </w:p>
    <w:p>
      <w:pPr>
        <w:rPr>
          <w:rFonts w:hint="eastAsia" w:ascii="仿宋_GB2312" w:hAnsi="仿宋_GB2312" w:eastAsia="仿宋_GB2312" w:cs="仿宋_GB2312"/>
          <w:sz w:val="32"/>
          <w:szCs w:val="32"/>
        </w:rPr>
      </w:pPr>
    </w:p>
    <w:p>
      <w:pPr>
        <w:pStyle w:val="9"/>
        <w:numPr>
          <w:ilvl w:val="0"/>
          <w:numId w:val="0"/>
        </w:numP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展望</w:t>
      </w:r>
    </w:p>
    <w:p>
      <w:pPr>
        <w:pStyle w:val="10"/>
        <w:snapToGrid w:val="0"/>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通过加大废料循环利用，减少投料成本，可直接为</w:t>
      </w:r>
      <w:r>
        <w:rPr>
          <w:rFonts w:hint="eastAsia" w:ascii="仿宋_GB2312" w:hAnsi="仿宋_GB2312" w:eastAsia="仿宋_GB2312" w:cs="仿宋_GB2312"/>
          <w:sz w:val="32"/>
          <w:szCs w:val="32"/>
          <w:lang w:eastAsia="zh-CN"/>
        </w:rPr>
        <w:t>企业</w:t>
      </w:r>
      <w:r>
        <w:rPr>
          <w:rFonts w:hint="eastAsia" w:ascii="仿宋_GB2312" w:hAnsi="仿宋_GB2312" w:eastAsia="仿宋_GB2312" w:cs="仿宋_GB2312"/>
          <w:sz w:val="32"/>
          <w:szCs w:val="32"/>
        </w:rPr>
        <w:t>创效，后续加大对罐料厂、航空厂、汽车厂等外购废料回收的利用，以及加大对铝理合金废料循环利用和含油或乳液废料难处理利用研究，还要拓宽高附加值合金废料使用比例研究。废料循环利用真正实现循环经济、节能降耗、绿色发展之路。</w:t>
      </w:r>
    </w:p>
    <w:p>
      <w:pPr>
        <w:pStyle w:val="10"/>
        <w:snapToGrid w:val="0"/>
        <w:spacing w:line="560" w:lineRule="exact"/>
        <w:ind w:left="0" w:leftChars="0" w:firstLine="640" w:firstLineChars="200"/>
        <w:jc w:val="right"/>
        <w:rPr>
          <w:rFonts w:hint="eastAsia" w:ascii="仿宋_GB2312" w:hAnsi="仿宋_GB2312" w:eastAsia="仿宋_GB2312" w:cs="仿宋_GB2312"/>
          <w:sz w:val="32"/>
          <w:szCs w:val="32"/>
          <w:lang w:val="en-US" w:eastAsia="zh-CN"/>
        </w:rPr>
      </w:pPr>
    </w:p>
    <w:p>
      <w:pPr>
        <w:pStyle w:val="10"/>
        <w:snapToGrid w:val="0"/>
        <w:spacing w:line="560" w:lineRule="exact"/>
        <w:ind w:left="0" w:leftChars="0" w:firstLine="640" w:firstLineChars="20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李朝阳</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1B6DAA"/>
    <w:multiLevelType w:val="singleLevel"/>
    <w:tmpl w:val="EF1B6DA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175"/>
    <w:rsid w:val="00192B49"/>
    <w:rsid w:val="00240852"/>
    <w:rsid w:val="002A524C"/>
    <w:rsid w:val="004C763A"/>
    <w:rsid w:val="00531A7E"/>
    <w:rsid w:val="006E36F1"/>
    <w:rsid w:val="006E6711"/>
    <w:rsid w:val="007B65B2"/>
    <w:rsid w:val="008521F0"/>
    <w:rsid w:val="008B2BD3"/>
    <w:rsid w:val="009A0807"/>
    <w:rsid w:val="00A651F2"/>
    <w:rsid w:val="00A758DA"/>
    <w:rsid w:val="00A85362"/>
    <w:rsid w:val="00B36175"/>
    <w:rsid w:val="00B9198C"/>
    <w:rsid w:val="00B94B79"/>
    <w:rsid w:val="00C011CC"/>
    <w:rsid w:val="00C2058A"/>
    <w:rsid w:val="00CD1BC0"/>
    <w:rsid w:val="00DA18F9"/>
    <w:rsid w:val="00DA6201"/>
    <w:rsid w:val="00DF45E8"/>
    <w:rsid w:val="00E0541A"/>
    <w:rsid w:val="00F5070A"/>
    <w:rsid w:val="00F80F4F"/>
    <w:rsid w:val="00FF4007"/>
    <w:rsid w:val="03DA6F12"/>
    <w:rsid w:val="07AE4002"/>
    <w:rsid w:val="08B41A6A"/>
    <w:rsid w:val="0FDF1B50"/>
    <w:rsid w:val="24115104"/>
    <w:rsid w:val="311312D6"/>
    <w:rsid w:val="317638D4"/>
    <w:rsid w:val="3B8A747F"/>
    <w:rsid w:val="44DA321C"/>
    <w:rsid w:val="47422294"/>
    <w:rsid w:val="50AC6C58"/>
    <w:rsid w:val="54BD4377"/>
    <w:rsid w:val="5C237D1D"/>
    <w:rsid w:val="5D1D175C"/>
    <w:rsid w:val="5F670C60"/>
    <w:rsid w:val="6287641F"/>
    <w:rsid w:val="67264059"/>
    <w:rsid w:val="7026308D"/>
    <w:rsid w:val="77FC45D3"/>
    <w:rsid w:val="79DD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Light Shading Accent 5"/>
    <w:basedOn w:val="4"/>
    <w:qFormat/>
    <w:uiPriority w:val="60"/>
    <w:rPr>
      <w:rFonts w:ascii="Times New Roman" w:hAnsi="Times New Roman" w:eastAsia="宋体" w:cs="Times New Roman"/>
      <w:color w:val="31859C" w:themeColor="accent5" w:themeShade="BF"/>
      <w:kern w:val="0"/>
      <w:sz w:val="20"/>
      <w:szCs w:val="20"/>
    </w:rPr>
    <w:tblPr>
      <w:tblBorders>
        <w:top w:val="single" w:color="4BACC6" w:themeColor="accent5" w:sz="8" w:space="0"/>
        <w:bottom w:val="single" w:color="4BACC6" w:themeColor="accent5"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blLayout w:type="fixed"/>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2EAF0" w:themeFill="accent5" w:themeFillTint="3F"/>
      </w:tcPr>
    </w:tblStylePr>
    <w:tblStylePr w:type="band1Horz">
      <w:tblPr>
        <w:tblLayout w:type="fixed"/>
      </w:tblPr>
      <w:tcPr>
        <w:tcBorders>
          <w:left w:val="nil"/>
          <w:right w:val="nil"/>
          <w:insideH w:val="nil"/>
          <w:insideV w:val="nil"/>
        </w:tcBorders>
        <w:shd w:val="clear" w:color="auto" w:fill="D2EAF0" w:themeFill="accent5" w:themeFillTint="3F"/>
      </w:tcPr>
    </w:tblStyle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列出段落1"/>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16</Pages>
  <Words>983</Words>
  <Characters>5609</Characters>
  <Lines>46</Lines>
  <Paragraphs>13</Paragraphs>
  <TotalTime>6</TotalTime>
  <ScaleCrop>false</ScaleCrop>
  <LinksUpToDate>false</LinksUpToDate>
  <CharactersWithSpaces>6579</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2021-01-11T00:55:00Z</dcterms:created>
  <dc:creator>dreamsummit</dc:creator>
  <cp:lastModifiedBy>木央</cp:lastModifiedBy>
  <cp:lastPrinted>2021-07-26T03:56:00Z</cp:lastPrinted>
  <dcterms:modified xsi:type="dcterms:W3CDTF">2021-07-26T08:11:40Z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374266945_cloud</vt:lpwstr>
  </property>
  <property fmtid="{D5CDD505-2E9C-101B-9397-08002B2CF9AE}" pid="3" name="KSOProductBuildVer">
    <vt:lpwstr>2052-11.1.0.9021</vt:lpwstr>
  </property>
</Properties>
</file>