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before="156" w:beforeLines="50" w:after="156" w:afterLines="50" w:line="560" w:lineRule="exact"/>
        <w:jc w:val="both"/>
        <w:textAlignment w:val="auto"/>
        <w:outlineLvl w:val="0"/>
        <w:rPr>
          <w:rFonts w:hint="eastAsia" w:ascii="仿宋_GB2312" w:hAnsi="华文中宋" w:eastAsia="仿宋_GB2312"/>
          <w:b/>
          <w:kern w:val="0"/>
          <w:sz w:val="28"/>
          <w:szCs w:val="28"/>
        </w:rPr>
      </w:pPr>
      <w:r>
        <w:rPr>
          <w:rFonts w:hint="eastAsia" w:ascii="仿宋_GB2312" w:hAnsi="华文中宋" w:eastAsia="仿宋_GB2312"/>
          <w:b/>
          <w:kern w:val="0"/>
          <w:sz w:val="28"/>
          <w:szCs w:val="28"/>
        </w:rPr>
        <w:t>广西分公司热电厂</w:t>
      </w:r>
    </w:p>
    <w:p>
      <w:pPr>
        <w:keepNext w:val="0"/>
        <w:keepLines w:val="0"/>
        <w:pageBreakBefore w:val="0"/>
        <w:widowControl w:val="0"/>
        <w:kinsoku/>
        <w:wordWrap/>
        <w:overflowPunct/>
        <w:topLinePunct w:val="0"/>
        <w:autoSpaceDE/>
        <w:autoSpaceDN/>
        <w:bidi w:val="0"/>
        <w:spacing w:before="156" w:beforeLines="50" w:after="156" w:afterLines="50" w:line="560" w:lineRule="exact"/>
        <w:jc w:val="center"/>
        <w:textAlignment w:val="auto"/>
        <w:outlineLvl w:val="0"/>
        <w:rPr>
          <w:rFonts w:hint="eastAsia" w:ascii="仿宋_GB2312" w:hAnsi="华文中宋" w:eastAsia="仿宋_GB2312"/>
          <w:b/>
          <w:kern w:val="0"/>
          <w:sz w:val="28"/>
          <w:szCs w:val="28"/>
        </w:rPr>
      </w:pPr>
      <w:r>
        <w:rPr>
          <w:rFonts w:hint="eastAsia" w:ascii="华文中宋" w:hAnsi="华文中宋" w:eastAsia="华文中宋"/>
          <w:b/>
          <w:sz w:val="36"/>
          <w:szCs w:val="36"/>
        </w:rPr>
        <w:t>综合优化，降低大型煤气炉能耗</w:t>
      </w:r>
    </w:p>
    <w:p>
      <w:pPr>
        <w:keepNext w:val="0"/>
        <w:keepLines w:val="0"/>
        <w:pageBreakBefore w:val="0"/>
        <w:widowControl w:val="0"/>
        <w:kinsoku/>
        <w:wordWrap/>
        <w:overflowPunct/>
        <w:topLinePunct w:val="0"/>
        <w:autoSpaceDE/>
        <w:autoSpaceDN/>
        <w:bidi w:val="0"/>
        <w:spacing w:before="156" w:beforeLines="50" w:after="156" w:afterLines="50" w:line="560" w:lineRule="exact"/>
        <w:jc w:val="both"/>
        <w:textAlignment w:val="auto"/>
        <w:outlineLvl w:val="0"/>
        <w:rPr>
          <w:rFonts w:hint="eastAsia" w:ascii="华文中宋" w:hAnsi="华文中宋" w:eastAsia="华文中宋"/>
          <w:b/>
          <w:sz w:val="30"/>
          <w:szCs w:val="30"/>
        </w:rPr>
      </w:pPr>
      <w:r>
        <w:rPr>
          <w:rFonts w:hint="eastAsia" w:ascii="仿宋_GB2312" w:hAnsi="华文中宋" w:eastAsia="仿宋_GB2312"/>
          <w:b/>
          <w:kern w:val="0"/>
          <w:sz w:val="30"/>
          <w:szCs w:val="30"/>
        </w:rPr>
        <w:t>简介</w:t>
      </w:r>
    </w:p>
    <w:p>
      <w:pPr>
        <w:keepNext w:val="0"/>
        <w:keepLines w:val="0"/>
        <w:pageBreakBefore w:val="0"/>
        <w:widowControl w:val="0"/>
        <w:kinsoku/>
        <w:wordWrap/>
        <w:overflowPunct/>
        <w:topLinePunct w:val="0"/>
        <w:autoSpaceDE/>
        <w:autoSpaceDN/>
        <w:bidi w:val="0"/>
        <w:spacing w:before="156" w:beforeLines="50" w:after="156" w:afterLines="50" w:line="560" w:lineRule="exact"/>
        <w:ind w:firstLine="562" w:firstLineChars="200"/>
        <w:jc w:val="both"/>
        <w:textAlignment w:val="auto"/>
        <w:outlineLvl w:val="0"/>
        <w:rPr>
          <w:rFonts w:hint="eastAsia" w:ascii="仿宋_GB2312" w:hAnsi="仿宋_GB2312" w:eastAsia="仿宋_GB2312" w:cs="仿宋_GB2312"/>
          <w:kern w:val="0"/>
          <w:sz w:val="30"/>
          <w:szCs w:val="30"/>
          <w:lang w:eastAsia="zh-CN"/>
        </w:rPr>
      </w:pPr>
      <w:r>
        <w:rPr>
          <w:rFonts w:hint="eastAsia" w:ascii="仿宋_GB2312" w:hAnsi="华文中宋" w:eastAsia="仿宋_GB2312"/>
          <w:b/>
          <w:kern w:val="0"/>
          <w:sz w:val="28"/>
          <w:szCs w:val="28"/>
          <w:lang w:eastAsia="zh-CN"/>
        </w:rPr>
        <w:t>增加</w:t>
      </w:r>
      <w:r>
        <w:rPr>
          <w:rFonts w:hint="eastAsia" w:ascii="仿宋_GB2312" w:hAnsi="华文中宋" w:eastAsia="仿宋_GB2312"/>
          <w:b/>
          <w:kern w:val="0"/>
          <w:sz w:val="28"/>
          <w:szCs w:val="28"/>
        </w:rPr>
        <w:t>广西分公司热电厂</w:t>
      </w:r>
      <w:r>
        <w:rPr>
          <w:rFonts w:hint="eastAsia" w:ascii="仿宋_GB2312" w:hAnsi="华文中宋" w:eastAsia="仿宋_GB2312"/>
          <w:b/>
          <w:kern w:val="0"/>
          <w:sz w:val="28"/>
          <w:szCs w:val="28"/>
          <w:lang w:eastAsia="zh-CN"/>
        </w:rPr>
        <w:t>介绍</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宋体" w:hAnsi="宋体"/>
          <w:b/>
          <w:bCs/>
          <w:kern w:val="0"/>
          <w:sz w:val="30"/>
          <w:szCs w:val="30"/>
        </w:rPr>
      </w:pPr>
      <w:r>
        <w:rPr>
          <w:rFonts w:hint="eastAsia" w:ascii="宋体" w:hAnsi="宋体"/>
          <w:b/>
          <w:bCs/>
          <w:kern w:val="0"/>
          <w:sz w:val="30"/>
          <w:szCs w:val="30"/>
        </w:rPr>
        <w:t>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2019年大型气化炉系统故障频发，全年非停故障高达12次，同时气化炉运行时给煤机堵煤频繁，气化炉除渣管堵渣严重。因不能排渣导致床压升高致使气化炉被迫熄炉检修，致使气化炉连续运行周期缩短。此外由于煤气含水量高，导致用户耗热高，无法实现工序全流程的节能降耗目标。因此，尽快解决上述气化炉生产瓶颈问题，实现气化炉长周期稳定运行，提升煤气品质，减少煤耗，成为</w:t>
      </w:r>
      <w:r>
        <w:rPr>
          <w:rFonts w:hint="eastAsia" w:ascii="仿宋_GB2312" w:hAnsi="仿宋_GB2312" w:eastAsia="仿宋_GB2312" w:cs="仿宋_GB2312"/>
          <w:kern w:val="0"/>
          <w:sz w:val="30"/>
          <w:szCs w:val="30"/>
          <w:lang w:eastAsia="zh-CN"/>
        </w:rPr>
        <w:t>企业</w:t>
      </w:r>
      <w:r>
        <w:rPr>
          <w:rFonts w:hint="eastAsia" w:ascii="仿宋_GB2312" w:hAnsi="仿宋_GB2312" w:eastAsia="仿宋_GB2312" w:cs="仿宋_GB2312"/>
          <w:kern w:val="0"/>
          <w:sz w:val="30"/>
          <w:szCs w:val="30"/>
        </w:rPr>
        <w:t>实现节能减的当务之急。</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宋体" w:hAnsi="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宋体" w:hAnsi="宋体"/>
          <w:b/>
          <w:bCs/>
          <w:kern w:val="0"/>
          <w:sz w:val="30"/>
          <w:szCs w:val="30"/>
        </w:rPr>
      </w:pPr>
      <w:r>
        <w:rPr>
          <w:rFonts w:hint="eastAsia" w:ascii="宋体" w:hAnsi="宋体"/>
          <w:b/>
          <w:bCs/>
          <w:kern w:val="0"/>
          <w:sz w:val="30"/>
          <w:szCs w:val="30"/>
        </w:rPr>
        <w:t>解决方案</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针对上述问题，中国铝业广西西分公司响应国家节能减排和资源综合利用产业政策，积极探索降低气化炉煤耗，提升煤气品质的有效途径，以求企业降减排增效的目标。根据影响气化炉煤耗与品质品质提升三个主要因素进行以下几个方面的对策性改进：</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lang w:eastAsia="zh-CN"/>
        </w:rPr>
        <w:t>一、</w:t>
      </w:r>
      <w:r>
        <w:rPr>
          <w:rFonts w:hint="eastAsia" w:ascii="仿宋_GB2312" w:hAnsi="仿宋_GB2312" w:eastAsia="仿宋_GB2312" w:cs="仿宋_GB2312"/>
          <w:b/>
          <w:bCs/>
          <w:kern w:val="0"/>
          <w:sz w:val="30"/>
          <w:szCs w:val="30"/>
        </w:rPr>
        <w:t>实施供煤流程优化与改进</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广西企业地处南方湿热环境，特别是雨季时高含水的褐煤严重制约后工序的正常运行，因此增设了褐煤烘干系统解决褐煤水分高问题，但由于受限供煤输送系统为原利旧改造的，流程匹配性存在缺陷，导致湿煤烘干后的热水汽不能完全散发出来就通过管状带直接进入气化炉煤仓，造成煤仓频繁板结、架空，致使气化炉频繁出现给煤堵塞。针对此项问题带来的影响，</w:t>
      </w:r>
      <w:r>
        <w:rPr>
          <w:rFonts w:hint="eastAsia" w:ascii="仿宋_GB2312" w:hAnsi="仿宋_GB2312" w:eastAsia="仿宋_GB2312" w:cs="仿宋_GB2312"/>
          <w:kern w:val="0"/>
          <w:sz w:val="30"/>
          <w:szCs w:val="30"/>
          <w:lang w:eastAsia="zh-CN"/>
        </w:rPr>
        <w:t>采取的</w:t>
      </w:r>
      <w:r>
        <w:rPr>
          <w:rFonts w:hint="eastAsia" w:ascii="仿宋_GB2312" w:hAnsi="仿宋_GB2312" w:eastAsia="仿宋_GB2312" w:cs="仿宋_GB2312"/>
          <w:kern w:val="0"/>
          <w:sz w:val="30"/>
          <w:szCs w:val="30"/>
        </w:rPr>
        <w:t>改进对策是提高湿煤自然干燥速度，减少炉堵煤故障对气化炉的影响</w:t>
      </w:r>
      <w:r>
        <w:rPr>
          <w:rFonts w:hint="eastAsia" w:ascii="仿宋_GB2312" w:hAnsi="仿宋_GB2312" w:eastAsia="仿宋_GB2312" w:cs="仿宋_GB2312"/>
          <w:kern w:val="0"/>
          <w:sz w:val="30"/>
          <w:szCs w:val="30"/>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因此利用现有的备煤工艺，进行备煤流程改造优化，将原烘干湿煤皮带延长到煤场，并增加正反转功能，改造后的皮带通过正反转控制可以实现将湿煤送入烘干系统，也可以将烘干前的湿煤送入煤场进行晾晒。煤场的湿煤在经过一级破碎后重新进行入煤场储存，因湿煤破碎经过一级破碎后，表面积增大，加之破碎后松散增大，水分挥发快，翻晒两次后即可作为干煤不需要经过烘干就可以直接使用，这样就达到减少用烘干煤高温水汽对气化炉煤仓的不利影响。同时煤场原煤经破碎后再次回流程，也可以有效降低“大颗粒煤”的概率。通过配煤优化将破碎煤返回堆场，降低煤含水率，再次进行搭配使用，有效提升入炉煤质量。</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lang w:eastAsia="zh-CN"/>
        </w:rPr>
        <w:t>二、</w:t>
      </w:r>
      <w:r>
        <w:rPr>
          <w:rFonts w:hint="eastAsia" w:ascii="仿宋_GB2312" w:hAnsi="仿宋_GB2312" w:eastAsia="仿宋_GB2312" w:cs="仿宋_GB2312"/>
          <w:b/>
          <w:bCs/>
          <w:kern w:val="0"/>
          <w:sz w:val="30"/>
          <w:szCs w:val="30"/>
        </w:rPr>
        <w:t>提升气化炉生产稳定运行性与设备运转周期</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针对气化炉运行周期短</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煤耗高的问题，采取以下四个优化改进措施，实现提高气化炉稳定运行周期与降耗目标。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开展单煤种单炉单烧试验，建立了各煤种的单烧使用数据，及时发现各原煤煤种质量出现波动时建立快速直接追溯通道</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为后续的气化炉更加精细配煤与提温降耗等措施开展积累了指导数据。</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开展炉温提升试验，实施气化炉参数精准管控</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在气化炉不结焦的情况尽量提升炉膛温度能有效提升气化炉气化效率，自</w:t>
      </w:r>
      <w:r>
        <w:rPr>
          <w:rFonts w:hint="eastAsia" w:ascii="仿宋_GB2312" w:hAnsi="仿宋_GB2312" w:eastAsia="仿宋_GB2312" w:cs="仿宋_GB2312"/>
          <w:kern w:val="0"/>
          <w:sz w:val="30"/>
          <w:szCs w:val="30"/>
          <w:lang w:val="en-US" w:eastAsia="zh-CN"/>
        </w:rPr>
        <w:t>2020</w:t>
      </w:r>
      <w:r>
        <w:rPr>
          <w:rFonts w:hint="eastAsia" w:ascii="仿宋_GB2312" w:hAnsi="仿宋_GB2312" w:eastAsia="仿宋_GB2312" w:cs="仿宋_GB2312"/>
          <w:kern w:val="0"/>
          <w:sz w:val="30"/>
          <w:szCs w:val="30"/>
        </w:rPr>
        <w:t>年初安排在单炉开展提炉温试验，进一步测定不同煤种确保不结渣的情况下炉温控制的高限，并在提炉温试验后依据各煤种的试验结果，将运行的各台气化炉的操控问题调5至10摄氏度，有效改善气化效率。</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优化气化炉入炉蒸汽量控制，提升气化炉效率</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鉴于多台气化炉投入时间不长后就发生结渣的情况，在对影响气化炉结渣原因进行分析，通过跟踪入炉煤粒级、入炉蒸汽量控制变化，核实摸清该两项因素对气化炉结渣的影响程度。并安排在单台气化炉作为执行试点跟踪炉进行该两项因素影响验证。从7月份开始开展气化炉运行汽煤比、空煤比等参数变动对气化炉气化效率与现阶段堵渣的影响分析，建立不同负荷下需掺入的入炉蒸汽量控制标准。通过调整入炉蒸汽量，降低炉内温度，降低炉内结渣的风险，在降低煤单耗同时，也提升煤气质量。</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开展气化炉堵渣问题的技术攻关</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 xml:space="preserve"> 着力进行解决气化炉堵渣问题的技术攻关，通过在气化炉炉膛底部安装蒸汽流化装置，并在每台炉停炉检修时对该装置运转情况进行重点跟踪，根据跟踪结果对蒸汽流化装置进行二次升级改造。同时</w:t>
      </w:r>
      <w:r>
        <w:rPr>
          <w:rFonts w:hint="eastAsia" w:ascii="仿宋_GB2312" w:hAnsi="仿宋_GB2312" w:eastAsia="仿宋_GB2312" w:cs="仿宋_GB2312"/>
          <w:kern w:val="0"/>
          <w:sz w:val="30"/>
          <w:szCs w:val="30"/>
          <w:lang w:eastAsia="zh-CN"/>
        </w:rPr>
        <w:t>在</w:t>
      </w:r>
      <w:r>
        <w:rPr>
          <w:rFonts w:hint="eastAsia" w:ascii="仿宋_GB2312" w:hAnsi="仿宋_GB2312" w:eastAsia="仿宋_GB2312" w:cs="仿宋_GB2312"/>
          <w:kern w:val="0"/>
          <w:sz w:val="30"/>
          <w:szCs w:val="30"/>
        </w:rPr>
        <w:t>操作上通过调整参数不断摸索气化炉结渣后改善与处理的操作方法，有效的减轻了气化炉因结渣被迫退出熄炉检修的不利状况，延长了气化炉运转周期。</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lang w:eastAsia="zh-CN"/>
        </w:rPr>
        <w:t>三、</w:t>
      </w:r>
      <w:r>
        <w:rPr>
          <w:rFonts w:hint="eastAsia" w:ascii="仿宋_GB2312" w:hAnsi="仿宋_GB2312" w:eastAsia="仿宋_GB2312" w:cs="仿宋_GB2312"/>
          <w:b/>
          <w:bCs/>
          <w:kern w:val="0"/>
          <w:sz w:val="30"/>
          <w:szCs w:val="30"/>
        </w:rPr>
        <w:t>实施有效综合治理措施提升煤气品质</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提升煤气收尘效果降低煤气含尘</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供给用户的煤气含尘大、含水高是一直制约用户降耗得主要影响因素，因此2020年从年初开始就制定减少煤气含尘与含水的改善计划，制定了降低煤气含尘率控制措施，对热管冷却器煤气出口含尘的每周一次检测调整为每日专人检测一次，并根据检测结果，加强对有漏灰布袋故障的除尘器退出系统进行布袋更换。根据统计，截至</w:t>
      </w:r>
      <w:r>
        <w:rPr>
          <w:rFonts w:hint="eastAsia" w:ascii="仿宋_GB2312" w:hAnsi="仿宋_GB2312" w:eastAsia="仿宋_GB2312" w:cs="仿宋_GB2312"/>
          <w:kern w:val="0"/>
          <w:sz w:val="30"/>
          <w:szCs w:val="30"/>
          <w:lang w:val="en-US" w:eastAsia="zh-CN"/>
        </w:rPr>
        <w:t>2020</w:t>
      </w:r>
      <w:r>
        <w:rPr>
          <w:rFonts w:hint="eastAsia" w:ascii="仿宋_GB2312" w:hAnsi="仿宋_GB2312" w:eastAsia="仿宋_GB2312" w:cs="仿宋_GB2312"/>
          <w:kern w:val="0"/>
          <w:sz w:val="30"/>
          <w:szCs w:val="30"/>
        </w:rPr>
        <w:t>年12月31日累计共95台次的布袋除尘器退出系统进行检修处理漏灰故障，基本实现对除尘系统的全面彻底处理，降低了煤气含尘。</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进行设备改造与技术改进降低煤气温度，减少煤气含水</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2020年为了减少煤气含水即降低煤气出口温度，主要采取两个方面措施，一是对煤气热管冷却器进行换型改造，并建立热管冷却器的定期冲洗清理制度，确保气化炉热管冷却器的冷却效果，从而降低煤气温度；其次是力保新增煤气脱氨系统在8月31日脱氨系统通煤气并网煤投入试运行。经过上述两项措施实施后煤气冷却效果较好，煤气脱硫进口煤气温度从原来90℃降到45℃，煤气含水率从12.5%降到6.5%，冷却效果非常好，氧化铝焙烧炉热效率提升效果显著。</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t>履责成效</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lang w:eastAsia="zh-CN"/>
        </w:rPr>
        <w:t>一、</w:t>
      </w:r>
      <w:r>
        <w:rPr>
          <w:rFonts w:hint="eastAsia" w:ascii="仿宋_GB2312" w:hAnsi="仿宋_GB2312" w:eastAsia="仿宋_GB2312" w:cs="仿宋_GB2312"/>
          <w:b/>
          <w:bCs/>
          <w:kern w:val="0"/>
          <w:sz w:val="30"/>
          <w:szCs w:val="30"/>
        </w:rPr>
        <w:t>经济效益显著</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气化炉经过实施上述综合优化改进措施后，气化炉煤气较2019年年均394.86kg/km3降至387.6kg/km3，煤气气化炉煤耗将</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年降低了1.84%， 2020年减少原煤消耗8821.8</w:t>
      </w:r>
      <w:r>
        <w:rPr>
          <w:rFonts w:hint="eastAsia" w:ascii="仿宋_GB2312" w:hAnsi="仿宋_GB2312" w:eastAsia="仿宋_GB2312" w:cs="仿宋_GB2312"/>
          <w:kern w:val="0"/>
          <w:sz w:val="30"/>
          <w:szCs w:val="30"/>
          <w:lang w:eastAsia="zh-CN"/>
        </w:rPr>
        <w:t>吨</w:t>
      </w:r>
      <w:r>
        <w:rPr>
          <w:rFonts w:hint="eastAsia" w:ascii="仿宋_GB2312" w:hAnsi="仿宋_GB2312" w:eastAsia="仿宋_GB2312" w:cs="仿宋_GB2312"/>
          <w:kern w:val="0"/>
          <w:sz w:val="30"/>
          <w:szCs w:val="30"/>
        </w:rPr>
        <w:t>，按原煤采购成本576.55元/吨计算，则减少原煤消耗效益508.62万元。因煤气品质显著提升，使得氧化铝焙烧炉热耗从2019年月均4.74GJ/t-AO下降至2020年月均4.65GJ/t-AO。2020年焙烧炉总产氧化铝2357235吨，按焙烧炉1t-AO耗热减少0.09GJ/t-AO计算，则全年减少总耗热量为212151.15 GJ,可节约130.268万元。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两项</w:t>
      </w:r>
      <w:r>
        <w:rPr>
          <w:rFonts w:hint="eastAsia" w:ascii="仿宋_GB2312" w:hAnsi="仿宋_GB2312" w:eastAsia="仿宋_GB2312" w:cs="仿宋_GB2312"/>
          <w:kern w:val="0"/>
          <w:sz w:val="30"/>
          <w:szCs w:val="30"/>
          <w:lang w:eastAsia="zh-CN"/>
        </w:rPr>
        <w:t>为企业增加</w:t>
      </w:r>
      <w:r>
        <w:rPr>
          <w:rFonts w:hint="eastAsia" w:ascii="仿宋_GB2312" w:hAnsi="仿宋_GB2312" w:eastAsia="仿宋_GB2312" w:cs="仿宋_GB2312"/>
          <w:kern w:val="0"/>
          <w:sz w:val="30"/>
          <w:szCs w:val="30"/>
        </w:rPr>
        <w:t>效益约638.888万元。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lang w:eastAsia="zh-CN"/>
        </w:rPr>
        <w:t>二、</w:t>
      </w:r>
      <w:r>
        <w:rPr>
          <w:rFonts w:hint="eastAsia" w:ascii="仿宋_GB2312" w:hAnsi="仿宋_GB2312" w:eastAsia="仿宋_GB2312" w:cs="仿宋_GB2312"/>
          <w:b/>
          <w:bCs/>
          <w:kern w:val="0"/>
          <w:sz w:val="30"/>
          <w:szCs w:val="30"/>
        </w:rPr>
        <w:t>节能减排等环境效益明显</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能效提升是节能减排的重要途径。据测算，节约1千克标准煤，即减排2.493千克二氧化碳和0.68千克碳。气化炉降耗后，年减少原煤消耗标煤为6170吨，减排15382吨二氧化碳和4195.6吨碳</w:t>
      </w:r>
      <w:r>
        <w:rPr>
          <w:rFonts w:hint="eastAsia" w:ascii="仿宋_GB2312" w:hAnsi="仿宋_GB2312" w:eastAsia="仿宋_GB2312" w:cs="仿宋_GB2312"/>
          <w:kern w:val="0"/>
          <w:sz w:val="30"/>
          <w:szCs w:val="30"/>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煤气品质提升后，用户减少煤气消耗3721950Nm³,按按焙烧炉1m³煤气产生3m³烟气计算，全年减少烟气量为11165850m³/h（焙烧烟气二氧化硫含量为200</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300mmg/m3）；</w:t>
      </w:r>
      <w:r>
        <w:rPr>
          <w:rFonts w:hint="eastAsia" w:ascii="仿宋_GB2312" w:hAnsi="仿宋_GB2312" w:eastAsia="仿宋_GB2312" w:cs="仿宋_GB2312"/>
          <w:kern w:val="0"/>
          <w:sz w:val="30"/>
          <w:szCs w:val="30"/>
          <w:highlight w:val="yellow"/>
        </w:rPr>
        <w:t>全年减排223</w:t>
      </w:r>
      <w:r>
        <w:rPr>
          <w:rFonts w:hint="eastAsia" w:ascii="仿宋_GB2312" w:hAnsi="仿宋_GB2312" w:eastAsia="仿宋_GB2312" w:cs="仿宋_GB2312"/>
          <w:kern w:val="0"/>
          <w:sz w:val="30"/>
          <w:szCs w:val="30"/>
          <w:highlight w:val="yellow"/>
          <w:lang w:val="en-US" w:eastAsia="zh-CN"/>
        </w:rPr>
        <w:t>-</w:t>
      </w:r>
      <w:r>
        <w:rPr>
          <w:rFonts w:hint="eastAsia" w:ascii="仿宋_GB2312" w:hAnsi="仿宋_GB2312" w:eastAsia="仿宋_GB2312" w:cs="仿宋_GB2312"/>
          <w:kern w:val="0"/>
          <w:sz w:val="30"/>
          <w:szCs w:val="30"/>
          <w:highlight w:val="yellow"/>
        </w:rPr>
        <w:t>334</w:t>
      </w:r>
      <w:r>
        <w:rPr>
          <w:rFonts w:hint="eastAsia" w:ascii="仿宋_GB2312" w:hAnsi="仿宋_GB2312" w:eastAsia="仿宋_GB2312" w:cs="仿宋_GB2312"/>
          <w:kern w:val="0"/>
          <w:sz w:val="30"/>
          <w:szCs w:val="30"/>
          <w:highlight w:val="yellow"/>
          <w:lang w:eastAsia="zh-CN"/>
        </w:rPr>
        <w:t>吨</w:t>
      </w:r>
      <w:r>
        <w:rPr>
          <w:rFonts w:hint="eastAsia" w:ascii="仿宋_GB2312" w:hAnsi="仿宋_GB2312" w:eastAsia="仿宋_GB2312" w:cs="仿宋_GB2312"/>
          <w:kern w:val="0"/>
          <w:sz w:val="30"/>
          <w:szCs w:val="30"/>
          <w:highlight w:val="yellow"/>
        </w:rPr>
        <w:t>二氧化硫，</w:t>
      </w:r>
      <w:r>
        <w:rPr>
          <w:rFonts w:hint="eastAsia" w:ascii="仿宋_GB2312" w:hAnsi="仿宋_GB2312" w:eastAsia="仿宋_GB2312" w:cs="仿宋_GB2312"/>
          <w:kern w:val="0"/>
          <w:sz w:val="30"/>
          <w:szCs w:val="30"/>
        </w:rPr>
        <w:t>减排2529吨二氧化碳和689.9吨碳，为节能减排和减少温室气体排放做出的实实在在的贡献，创造出了良好的环保效益。</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kern w:val="0"/>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t>展望</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气化炉煤气的品质提升与降耗改善，不仅能节约能源降低生产成本，也减少了大气污染物的排放，为下一步不断推行改进降低能耗，实现节能减排的持续改进奠定基础，充分体现了能源的可持续发展即坚持开发与节约并举、节约优先的方针。</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right"/>
        <w:textAlignment w:val="auto"/>
        <w:rPr>
          <w:rFonts w:hint="eastAsia" w:ascii="宋体" w:hAnsi="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right"/>
        <w:textAlignment w:val="auto"/>
        <w:rPr>
          <w:rFonts w:hint="eastAsia" w:ascii="宋体" w:hAnsi="宋体"/>
          <w:kern w:val="0"/>
          <w:sz w:val="30"/>
          <w:szCs w:val="30"/>
        </w:rPr>
      </w:pPr>
      <w:r>
        <w:rPr>
          <w:rFonts w:hint="eastAsia" w:ascii="宋体" w:hAnsi="宋体"/>
          <w:kern w:val="0"/>
          <w:sz w:val="30"/>
          <w:szCs w:val="30"/>
        </w:rPr>
        <w:t>李正兰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roma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Tw Cen MT">
    <w:altName w:val="Shruti"/>
    <w:panose1 w:val="020B0602020104020603"/>
    <w:charset w:val="00"/>
    <w:family w:val="swiss"/>
    <w:pitch w:val="default"/>
    <w:sig w:usb0="00000000" w:usb1="00000000" w:usb2="00000000" w:usb3="00000000" w:csb0="00000003" w:csb1="00000000"/>
  </w:font>
  <w:font w:name="华文仿宋">
    <w:panose1 w:val="02010600040101010101"/>
    <w:charset w:val="86"/>
    <w:family w:val="auto"/>
    <w:pitch w:val="default"/>
    <w:sig w:usb0="00000287" w:usb1="080F0000" w:usb2="00000000" w:usb3="00000000" w:csb0="0004009F" w:csb1="DFD70000"/>
  </w:font>
  <w:font w:name="Shruti">
    <w:panose1 w:val="02000500000000000000"/>
    <w:charset w:val="00"/>
    <w:family w:val="auto"/>
    <w:pitch w:val="default"/>
    <w:sig w:usb0="0004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4E9"/>
    <w:rsid w:val="00236EC0"/>
    <w:rsid w:val="00486AEA"/>
    <w:rsid w:val="00620C60"/>
    <w:rsid w:val="00CA44E9"/>
    <w:rsid w:val="00E30219"/>
    <w:rsid w:val="00E7743F"/>
    <w:rsid w:val="0C014F5F"/>
    <w:rsid w:val="244035EE"/>
    <w:rsid w:val="361F36D0"/>
    <w:rsid w:val="41AA0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ind w:firstLine="420" w:firstLineChars="200"/>
    </w:pPr>
    <w:rPr>
      <w:rFonts w:ascii="Calibri" w:hAnsi="Calibri"/>
      <w:szCs w:val="22"/>
    </w:rPr>
  </w:style>
  <w:style w:type="paragraph" w:styleId="9">
    <w:name w:val="List Paragraph"/>
    <w:basedOn w:val="1"/>
    <w:qFormat/>
    <w:uiPriority w:val="34"/>
    <w:pPr>
      <w:ind w:firstLine="420" w:firstLineChars="200"/>
    </w:pPr>
  </w:style>
  <w:style w:type="character" w:customStyle="1" w:styleId="10">
    <w:name w:val="页眉 Char"/>
    <w:basedOn w:val="7"/>
    <w:link w:val="3"/>
    <w:qFormat/>
    <w:uiPriority w:val="99"/>
    <w:rPr>
      <w:rFonts w:ascii="Times New Roman" w:hAnsi="Times New Roman" w:eastAsia="宋体" w:cs="Times New Roman"/>
      <w:sz w:val="18"/>
      <w:szCs w:val="18"/>
    </w:rPr>
  </w:style>
  <w:style w:type="character" w:customStyle="1" w:styleId="11">
    <w:name w:val="页脚 Char"/>
    <w:basedOn w:val="7"/>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609</Words>
  <Characters>3474</Characters>
  <Lines>28</Lines>
  <Paragraphs>8</Paragraphs>
  <TotalTime>1</TotalTime>
  <ScaleCrop>false</ScaleCrop>
  <LinksUpToDate>false</LinksUpToDate>
  <CharactersWithSpaces>4075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2021-01-15T01:08:00Z</dcterms:created>
  <dc:creator>Administrator</dc:creator>
  <cp:lastModifiedBy>木央</cp:lastModifiedBy>
  <dcterms:modified xsi:type="dcterms:W3CDTF">2021-07-26T08:44:27Z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