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Style w:val="19"/>
          <w:rFonts w:ascii="仿宋_GB2312" w:hAnsi="仿宋_GB2312" w:eastAsia="仿宋_GB2312" w:cs="仿宋_GB2312"/>
          <w:b/>
          <w:bCs/>
          <w:sz w:val="36"/>
          <w:szCs w:val="36"/>
        </w:rPr>
      </w:pPr>
      <w:r>
        <w:rPr>
          <w:rStyle w:val="19"/>
          <w:rFonts w:hint="eastAsia" w:ascii="仿宋_GB2312" w:hAnsi="仿宋_GB2312" w:eastAsia="仿宋_GB2312" w:cs="仿宋_GB2312"/>
          <w:b/>
          <w:bCs/>
          <w:sz w:val="36"/>
          <w:szCs w:val="36"/>
        </w:rPr>
        <w:t>废气变资源，有色变绿色</w:t>
      </w:r>
    </w:p>
    <w:p>
      <w:pPr>
        <w:jc w:val="right"/>
        <w:rPr>
          <w:rFonts w:hint="eastAsia"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  </w:t>
      </w:r>
    </w:p>
    <w:p>
      <w:pPr>
        <w:jc w:val="left"/>
        <w:rPr>
          <w:rStyle w:val="19"/>
          <w:rFonts w:hint="eastAsia" w:ascii="仿宋_GB2312" w:hAnsi="仿宋_GB2312" w:eastAsia="仿宋_GB2312"/>
          <w:b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b/>
          <w:sz w:val="28"/>
          <w:szCs w:val="28"/>
        </w:rPr>
        <w:t>一、简介</w:t>
      </w:r>
    </w:p>
    <w:p>
      <w:pPr>
        <w:ind w:firstLine="560" w:firstLineChars="200"/>
        <w:jc w:val="left"/>
        <w:rPr>
          <w:rStyle w:val="19"/>
          <w:rFonts w:hint="eastAsia" w:ascii="仿宋_GB2312" w:hAnsi="仿宋_GB2312" w:eastAsia="仿宋_GB2312"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sz w:val="28"/>
          <w:szCs w:val="28"/>
        </w:rPr>
        <w:t>凉山矿业股份有限公司冶炼厂</w:t>
      </w:r>
      <w:r>
        <w:rPr>
          <w:rStyle w:val="19"/>
          <w:rFonts w:hint="eastAsia" w:ascii="仿宋_GB2312" w:hAnsi="仿宋_GB2312" w:eastAsia="仿宋_GB2312"/>
          <w:sz w:val="28"/>
          <w:szCs w:val="28"/>
          <w:lang w:eastAsia="zh-CN"/>
        </w:rPr>
        <w:t>（简称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凉山矿业冶炼厂</w:t>
      </w:r>
      <w:r>
        <w:rPr>
          <w:rStyle w:val="19"/>
          <w:rFonts w:hint="eastAsia" w:ascii="仿宋_GB2312" w:hAnsi="仿宋_GB2312" w:eastAsia="仿宋_GB2312"/>
          <w:sz w:val="28"/>
          <w:szCs w:val="28"/>
          <w:lang w:eastAsia="zh-CN"/>
        </w:rPr>
        <w:t>）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低空污染治理项目，依托冶炼厂的现有生产系统，新增低空污染烟气处理设施，包括烟气收尘和有机胺法烟气脱硫系统，集中处理艾萨炉、电炉、转炉和阳极炉低空污染烟气（统称：环集烟气）收尘后的含硫烟气。</w:t>
      </w:r>
    </w:p>
    <w:p>
      <w:pPr>
        <w:jc w:val="left"/>
        <w:rPr>
          <w:rStyle w:val="19"/>
          <w:rFonts w:hint="eastAsia" w:ascii="仿宋_GB2312" w:hAnsi="仿宋_GB2312" w:eastAsia="仿宋_GB2312"/>
          <w:b/>
          <w:sz w:val="28"/>
          <w:szCs w:val="28"/>
        </w:rPr>
      </w:pPr>
    </w:p>
    <w:p>
      <w:pPr>
        <w:jc w:val="left"/>
        <w:rPr>
          <w:rStyle w:val="19"/>
          <w:rFonts w:hint="eastAsia" w:ascii="仿宋_GB2312" w:hAnsi="仿宋_GB2312" w:eastAsia="仿宋_GB2312"/>
          <w:b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b/>
          <w:sz w:val="28"/>
          <w:szCs w:val="28"/>
        </w:rPr>
        <w:t>二、背景</w:t>
      </w:r>
    </w:p>
    <w:p>
      <w:pPr>
        <w:ind w:firstLine="560" w:firstLineChars="200"/>
        <w:jc w:val="left"/>
        <w:rPr>
          <w:rStyle w:val="19"/>
          <w:rFonts w:hint="eastAsia" w:ascii="仿宋_GB2312" w:hAnsi="仿宋_GB2312" w:eastAsia="仿宋_GB2312"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sz w:val="28"/>
          <w:szCs w:val="28"/>
        </w:rPr>
        <w:t>由于现行国家标准比10万吨阳极铜冶炼项目设计时采用的国家标准更严格，因此凉山矿业冶炼厂现有烟气处理设施不能适应现行国家标准，需对现有烟气处理设施进行改造和完善。</w:t>
      </w:r>
    </w:p>
    <w:p>
      <w:pPr>
        <w:jc w:val="left"/>
        <w:rPr>
          <w:rStyle w:val="19"/>
          <w:rFonts w:hint="eastAsia" w:ascii="仿宋_GB2312" w:hAnsi="仿宋_GB2312" w:eastAsia="仿宋_GB2312"/>
          <w:b/>
          <w:sz w:val="28"/>
          <w:szCs w:val="28"/>
        </w:rPr>
      </w:pPr>
    </w:p>
    <w:p>
      <w:pPr>
        <w:jc w:val="left"/>
        <w:rPr>
          <w:rStyle w:val="19"/>
          <w:rFonts w:ascii="仿宋_GB2312" w:hAnsi="仿宋_GB2312" w:eastAsia="仿宋_GB2312"/>
          <w:b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b/>
          <w:sz w:val="28"/>
          <w:szCs w:val="28"/>
        </w:rPr>
        <w:t>三、解决方案</w:t>
      </w:r>
    </w:p>
    <w:p>
      <w:pPr>
        <w:ind w:firstLine="560" w:firstLineChars="200"/>
        <w:jc w:val="left"/>
        <w:rPr>
          <w:rStyle w:val="19"/>
          <w:rFonts w:ascii="仿宋_GB2312" w:hAnsi="仿宋_GB2312" w:eastAsia="仿宋_GB2312"/>
          <w:sz w:val="28"/>
          <w:szCs w:val="28"/>
        </w:rPr>
      </w:pPr>
      <w:bookmarkStart w:id="0" w:name="_GoBack"/>
      <w:bookmarkEnd w:id="0"/>
      <w:r>
        <w:rPr>
          <w:rStyle w:val="19"/>
          <w:rFonts w:hint="eastAsia" w:ascii="仿宋_GB2312" w:hAnsi="仿宋_GB2312" w:eastAsia="仿宋_GB2312"/>
          <w:sz w:val="28"/>
          <w:szCs w:val="28"/>
        </w:rPr>
        <w:t>环集烟气是含尘、含二氧化硫的烟气，是国家环境保护、节能减排重点监管指标。从2013年国家颁布的《铜、镍、钴工业污染物排放标准》（GB25467-2010）修改单规定，排放极限值分别为：SO</w:t>
      </w:r>
      <w:r>
        <w:rPr>
          <w:rStyle w:val="19"/>
          <w:rFonts w:hint="eastAsia" w:ascii="仿宋_GB2312" w:hAnsi="仿宋_GB2312" w:eastAsia="仿宋_GB2312"/>
          <w:sz w:val="28"/>
          <w:szCs w:val="28"/>
          <w:vertAlign w:val="subscript"/>
        </w:rPr>
        <w:t>2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 xml:space="preserve"> 100mg/m3、颗粒物10mg/m3、硫酸雾20mg/m3、氮氧化物100mg/m3（新增）等，可以看出国家对环保治理的决心。近年来，随着环保压力的增大，二氧化硫排放极限还有可能下调，这对含硫尾气处理工艺提出了更高的要求，选用高效经济可行的脱硫技术，治理环境污染势在必行。</w:t>
      </w:r>
    </w:p>
    <w:p>
      <w:pPr>
        <w:ind w:firstLine="560" w:firstLineChars="200"/>
        <w:rPr>
          <w:rStyle w:val="19"/>
          <w:rFonts w:hint="eastAsia" w:ascii="仿宋_GB2312" w:hAnsi="仿宋_GB2312" w:eastAsia="仿宋_GB2312"/>
          <w:sz w:val="28"/>
          <w:szCs w:val="28"/>
        </w:rPr>
      </w:pPr>
      <w:r>
        <w:rPr>
          <w:rStyle w:val="19"/>
          <w:rFonts w:ascii="仿宋_GB2312" w:hAnsi="仿宋_GB2312" w:eastAsia="仿宋_GB2312"/>
          <w:sz w:val="28"/>
          <w:szCs w:val="28"/>
        </w:rPr>
        <w:t>2020年，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凉山矿业冶炼厂将</w:t>
      </w:r>
      <w:r>
        <w:rPr>
          <w:rStyle w:val="19"/>
          <w:rFonts w:ascii="仿宋_GB2312" w:hAnsi="仿宋_GB2312" w:eastAsia="仿宋_GB2312"/>
          <w:sz w:val="28"/>
          <w:szCs w:val="28"/>
        </w:rPr>
        <w:t>低空污染治理项目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作为重点工作来抓</w:t>
      </w:r>
      <w:r>
        <w:rPr>
          <w:rStyle w:val="19"/>
          <w:rFonts w:ascii="仿宋_GB2312" w:hAnsi="仿宋_GB2312" w:eastAsia="仿宋_GB2312"/>
          <w:sz w:val="28"/>
          <w:szCs w:val="28"/>
        </w:rPr>
        <w:t>，面对突如其来的挑战，与各方同“啃”硬，共“食”艰，将困难和问题一一破解，促使低空污染治理项目建设顺利有序推进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。</w:t>
      </w:r>
    </w:p>
    <w:p>
      <w:pPr>
        <w:ind w:firstLine="560" w:firstLineChars="200"/>
        <w:rPr>
          <w:rStyle w:val="19"/>
          <w:rFonts w:ascii="仿宋_GB2312" w:hAnsi="仿宋_GB2312" w:eastAsia="仿宋_GB2312"/>
          <w:sz w:val="28"/>
          <w:szCs w:val="28"/>
        </w:rPr>
      </w:pPr>
      <w:r>
        <w:rPr>
          <w:rStyle w:val="19"/>
          <w:rFonts w:ascii="仿宋_GB2312" w:hAnsi="仿宋_GB2312" w:eastAsia="仿宋_GB2312"/>
          <w:sz w:val="28"/>
          <w:szCs w:val="28"/>
        </w:rPr>
        <w:t>低空烟气是困扰冶炼厂现场环境治理的难题，也是履行环保责任必然要求，刻不容缓。环集烟气系统交付后，与整个冶炼生产线联动，有期待也有压力，期待的是实现设计要求，压力是新人、新设备、无经验。于是一场与时间赛跑的接力在公司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部门</w:t>
      </w:r>
      <w:r>
        <w:rPr>
          <w:rStyle w:val="19"/>
          <w:rFonts w:ascii="仿宋_GB2312" w:hAnsi="仿宋_GB2312" w:eastAsia="仿宋_GB2312"/>
          <w:sz w:val="28"/>
          <w:szCs w:val="28"/>
        </w:rPr>
        <w:t>、分厂工段职能室全面展开。化验程序不通领导协调、蒸汽流量不稳工艺技术员解决、设备运行不畅设备技术员处理，岗位操作流程不熟加班加点培训。2020年8月27 日夜，随着环保主风机设备开启，环集烟气系统全面投入运行。</w:t>
      </w:r>
    </w:p>
    <w:p>
      <w:pPr>
        <w:ind w:firstLine="560" w:firstLineChars="200"/>
        <w:rPr>
          <w:rStyle w:val="19"/>
          <w:rFonts w:ascii="仿宋_GB2312" w:hAnsi="仿宋_GB2312" w:eastAsia="仿宋_GB2312"/>
          <w:sz w:val="28"/>
          <w:szCs w:val="28"/>
        </w:rPr>
      </w:pPr>
      <w:r>
        <w:rPr>
          <w:rStyle w:val="19"/>
          <w:rFonts w:ascii="仿宋_GB2312" w:hAnsi="仿宋_GB2312" w:eastAsia="仿宋_GB2312"/>
          <w:sz w:val="28"/>
          <w:szCs w:val="28"/>
        </w:rPr>
        <w:t>凉山矿业冶炼厂环集烟气净化系统包括环集烟气收集系统、布袋除尘、脱硫厂房、离子液法烟气脱硫系统等。投入运行后，现场低空外溢烟气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的有效控制和利用，不仅使外排烟气</w:t>
      </w:r>
      <w:r>
        <w:rPr>
          <w:rStyle w:val="19"/>
          <w:rFonts w:ascii="仿宋_GB2312" w:hAnsi="仿宋_GB2312" w:eastAsia="仿宋_GB2312"/>
          <w:sz w:val="28"/>
          <w:szCs w:val="28"/>
        </w:rPr>
        <w:t>满足现行国家排放标准，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而且使</w:t>
      </w:r>
      <w:r>
        <w:rPr>
          <w:rStyle w:val="19"/>
          <w:rFonts w:ascii="仿宋_GB2312" w:hAnsi="仿宋_GB2312" w:eastAsia="仿宋_GB2312"/>
          <w:sz w:val="28"/>
          <w:szCs w:val="28"/>
        </w:rPr>
        <w:t>吸收和置换出来的高浓度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SO</w:t>
      </w:r>
      <w:r>
        <w:rPr>
          <w:rStyle w:val="19"/>
          <w:rFonts w:hint="eastAsia" w:ascii="仿宋_GB2312" w:hAnsi="仿宋_GB2312" w:eastAsia="仿宋_GB2312"/>
          <w:sz w:val="28"/>
          <w:szCs w:val="28"/>
          <w:vertAlign w:val="subscript"/>
        </w:rPr>
        <w:t>2</w:t>
      </w:r>
      <w:r>
        <w:rPr>
          <w:rStyle w:val="19"/>
          <w:rFonts w:ascii="仿宋_GB2312" w:hAnsi="仿宋_GB2312" w:eastAsia="仿宋_GB2312"/>
          <w:sz w:val="28"/>
          <w:szCs w:val="28"/>
        </w:rPr>
        <w:t>气体作为现有烟气制酸系统的优良原料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，可实现年产硫酸5000余吨，</w:t>
      </w:r>
      <w:r>
        <w:rPr>
          <w:rStyle w:val="19"/>
          <w:rFonts w:ascii="仿宋_GB2312" w:hAnsi="仿宋_GB2312" w:eastAsia="仿宋_GB2312"/>
          <w:sz w:val="28"/>
          <w:szCs w:val="28"/>
        </w:rPr>
        <w:t>烟气中的高含铜烟尘通过布袋收尘器收集进行返生产流程进行冶炼，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回收铜金属50</w:t>
      </w:r>
      <w:r>
        <w:rPr>
          <w:rStyle w:val="19"/>
          <w:rFonts w:hint="eastAsia" w:ascii="仿宋_GB2312" w:hAnsi="仿宋_GB2312" w:eastAsia="仿宋_GB2312"/>
          <w:sz w:val="28"/>
          <w:szCs w:val="28"/>
          <w:lang w:eastAsia="zh-CN"/>
        </w:rPr>
        <w:t>吨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/年</w:t>
      </w:r>
      <w:r>
        <w:rPr>
          <w:rStyle w:val="19"/>
          <w:rFonts w:ascii="仿宋_GB2312" w:hAnsi="仿宋_GB2312" w:eastAsia="仿宋_GB2312"/>
          <w:sz w:val="28"/>
          <w:szCs w:val="28"/>
        </w:rPr>
        <w:t>。废气变为宝仅仅体现的是直观经济价值，然而在改善冶炼生产环境和保护员工职业健康方面有着重要意义。</w:t>
      </w:r>
    </w:p>
    <w:p>
      <w:pPr>
        <w:ind w:firstLine="560" w:firstLineChars="200"/>
        <w:rPr>
          <w:rStyle w:val="19"/>
          <w:rFonts w:ascii="仿宋_GB2312" w:hAnsi="仿宋_GB2312" w:eastAsia="仿宋_GB2312"/>
          <w:sz w:val="28"/>
          <w:szCs w:val="28"/>
        </w:rPr>
      </w:pPr>
    </w:p>
    <w:p>
      <w:pPr>
        <w:rPr>
          <w:rStyle w:val="19"/>
          <w:rFonts w:hint="eastAsia" w:ascii="仿宋_GB2312" w:hAnsi="仿宋_GB2312" w:eastAsia="仿宋_GB2312"/>
          <w:b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b/>
          <w:sz w:val="28"/>
          <w:szCs w:val="28"/>
        </w:rPr>
        <w:t>四、成效</w:t>
      </w:r>
    </w:p>
    <w:p>
      <w:pPr>
        <w:ind w:firstLine="640"/>
        <w:rPr>
          <w:rStyle w:val="19"/>
          <w:rFonts w:hint="eastAsia" w:ascii="仿宋_GB2312" w:hAnsi="仿宋_GB2312" w:eastAsia="仿宋_GB2312"/>
          <w:sz w:val="28"/>
          <w:szCs w:val="28"/>
        </w:rPr>
      </w:pPr>
      <w:r>
        <w:rPr>
          <w:rStyle w:val="19"/>
          <w:rFonts w:ascii="仿宋_GB2312" w:hAnsi="仿宋_GB2312" w:eastAsia="仿宋_GB2312"/>
          <w:sz w:val="28"/>
          <w:szCs w:val="28"/>
        </w:rPr>
        <w:t>2020年8月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底</w:t>
      </w:r>
      <w:r>
        <w:rPr>
          <w:rStyle w:val="19"/>
          <w:rFonts w:ascii="仿宋_GB2312" w:hAnsi="仿宋_GB2312" w:eastAsia="仿宋_GB2312"/>
          <w:sz w:val="28"/>
          <w:szCs w:val="28"/>
        </w:rPr>
        <w:t>，凉山矿业冶炼厂低空烟气治理项目正式投入运行，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系统采用的有机胺脱硫工艺，能耗指标达到国内先进水平，蒸汽耗量仅为4.0t/h，SO</w:t>
      </w:r>
      <w:r>
        <w:rPr>
          <w:rStyle w:val="19"/>
          <w:rFonts w:hint="eastAsia" w:ascii="仿宋_GB2312" w:hAnsi="仿宋_GB2312" w:eastAsia="仿宋_GB2312"/>
          <w:sz w:val="28"/>
          <w:szCs w:val="28"/>
          <w:vertAlign w:val="subscript"/>
        </w:rPr>
        <w:t>2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排放值22mg/m</w:t>
      </w:r>
      <w:r>
        <w:rPr>
          <w:rStyle w:val="19"/>
          <w:rFonts w:hint="eastAsia" w:ascii="仿宋_GB2312" w:hAnsi="仿宋_GB2312" w:eastAsia="仿宋_GB2312"/>
          <w:sz w:val="28"/>
          <w:szCs w:val="28"/>
          <w:vertAlign w:val="superscript"/>
        </w:rPr>
        <w:t>3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、颗粒物排放值2mg/m</w:t>
      </w:r>
      <w:r>
        <w:rPr>
          <w:rStyle w:val="19"/>
          <w:rFonts w:hint="eastAsia" w:ascii="仿宋_GB2312" w:hAnsi="仿宋_GB2312" w:eastAsia="仿宋_GB2312"/>
          <w:sz w:val="28"/>
          <w:szCs w:val="28"/>
          <w:vertAlign w:val="superscript"/>
        </w:rPr>
        <w:t>3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达到了环保特别排放限值的超低排放标准。</w:t>
      </w:r>
      <w:r>
        <w:rPr>
          <w:rStyle w:val="19"/>
          <w:rFonts w:ascii="仿宋_GB2312" w:hAnsi="仿宋_GB2312" w:eastAsia="仿宋_GB2312"/>
          <w:sz w:val="28"/>
          <w:szCs w:val="28"/>
        </w:rPr>
        <w:t>标志着冶炼厂实现废水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零排放目标</w:t>
      </w:r>
      <w:r>
        <w:rPr>
          <w:rStyle w:val="19"/>
          <w:rFonts w:ascii="仿宋_GB2312" w:hAnsi="仿宋_GB2312" w:eastAsia="仿宋_GB2312"/>
          <w:sz w:val="28"/>
          <w:szCs w:val="28"/>
        </w:rPr>
        <w:t>、废渣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综合回收</w:t>
      </w:r>
      <w:r>
        <w:rPr>
          <w:rStyle w:val="19"/>
          <w:rFonts w:ascii="仿宋_GB2312" w:hAnsi="仿宋_GB2312" w:eastAsia="仿宋_GB2312"/>
          <w:sz w:val="28"/>
          <w:szCs w:val="28"/>
        </w:rPr>
        <w:t>后，真正意义上实现废气超净排放目标</w:t>
      </w:r>
      <w:r>
        <w:rPr>
          <w:rStyle w:val="19"/>
          <w:rFonts w:hint="eastAsia" w:ascii="仿宋_GB2312" w:hAnsi="仿宋_GB2312" w:eastAsia="仿宋_GB2312"/>
          <w:sz w:val="28"/>
          <w:szCs w:val="28"/>
        </w:rPr>
        <w:t>。</w:t>
      </w:r>
    </w:p>
    <w:p>
      <w:pPr>
        <w:ind w:firstLine="640"/>
        <w:rPr>
          <w:rStyle w:val="19"/>
          <w:rFonts w:hint="eastAsia" w:ascii="仿宋_GB2312" w:hAnsi="仿宋_GB2312" w:eastAsia="仿宋_GB2312"/>
          <w:sz w:val="28"/>
          <w:szCs w:val="28"/>
        </w:rPr>
      </w:pPr>
    </w:p>
    <w:p>
      <w:pPr>
        <w:rPr>
          <w:rStyle w:val="19"/>
          <w:rFonts w:ascii="仿宋_GB2312" w:hAnsi="仿宋_GB2312" w:eastAsia="仿宋_GB2312"/>
          <w:b/>
          <w:sz w:val="28"/>
          <w:szCs w:val="28"/>
        </w:rPr>
      </w:pPr>
      <w:r>
        <w:rPr>
          <w:rStyle w:val="19"/>
          <w:rFonts w:hint="eastAsia" w:ascii="仿宋_GB2312" w:hAnsi="仿宋_GB2312" w:eastAsia="仿宋_GB2312"/>
          <w:b/>
          <w:sz w:val="28"/>
          <w:szCs w:val="28"/>
        </w:rPr>
        <w:t>五、展望</w:t>
      </w:r>
    </w:p>
    <w:p>
      <w:pPr>
        <w:ind w:firstLine="560" w:firstLineChars="200"/>
        <w:rPr>
          <w:rStyle w:val="19"/>
          <w:rFonts w:ascii="仿宋_GB2312" w:hAnsi="仿宋_GB2312" w:eastAsia="仿宋_GB2312"/>
          <w:sz w:val="28"/>
          <w:szCs w:val="28"/>
        </w:rPr>
      </w:pPr>
      <w:r>
        <w:rPr>
          <w:rStyle w:val="19"/>
          <w:rFonts w:ascii="仿宋_GB2312" w:hAnsi="仿宋_GB2312" w:eastAsia="仿宋_GB2312"/>
          <w:sz w:val="28"/>
          <w:szCs w:val="28"/>
        </w:rPr>
        <w:t>生产区的天更蓝了、空气更清新、路面更干净，是我们认真履行环保责任得到的最普惠福祉。凉山矿业冶炼</w:t>
      </w:r>
      <w:r>
        <w:rPr>
          <w:rStyle w:val="19"/>
          <w:rFonts w:hint="eastAsia" w:ascii="仿宋_GB2312" w:hAnsi="仿宋_GB2312" w:eastAsia="仿宋_GB2312"/>
          <w:sz w:val="28"/>
          <w:szCs w:val="28"/>
          <w:lang w:eastAsia="zh-CN"/>
        </w:rPr>
        <w:t>厂将继续坚持“绿水青山就是金山银山”的生态理念</w:t>
      </w:r>
      <w:r>
        <w:rPr>
          <w:rStyle w:val="19"/>
          <w:rFonts w:ascii="仿宋_GB2312" w:hAnsi="仿宋_GB2312" w:eastAsia="仿宋_GB2312"/>
          <w:sz w:val="28"/>
          <w:szCs w:val="28"/>
        </w:rPr>
        <w:t>，</w:t>
      </w:r>
      <w:r>
        <w:rPr>
          <w:rStyle w:val="19"/>
          <w:rFonts w:hint="eastAsia" w:ascii="仿宋_GB2312" w:hAnsi="仿宋_GB2312" w:eastAsia="仿宋_GB2312"/>
          <w:sz w:val="28"/>
          <w:szCs w:val="28"/>
          <w:lang w:eastAsia="zh-CN"/>
        </w:rPr>
        <w:t>将环境建设进行到底</w:t>
      </w:r>
      <w:r>
        <w:rPr>
          <w:rStyle w:val="19"/>
          <w:rFonts w:ascii="仿宋_GB2312" w:hAnsi="仿宋_GB2312" w:eastAsia="仿宋_GB2312"/>
          <w:sz w:val="28"/>
          <w:szCs w:val="28"/>
        </w:rPr>
        <w:t>。</w:t>
      </w:r>
    </w:p>
    <w:p>
      <w:pPr>
        <w:ind w:firstLine="560" w:firstLineChars="200"/>
        <w:jc w:val="right"/>
        <w:rPr>
          <w:rStyle w:val="19"/>
          <w:rFonts w:hint="eastAsia" w:ascii="仿宋_GB2312" w:hAnsi="仿宋_GB2312" w:eastAsia="仿宋_GB2312" w:cs="Times New Roman"/>
          <w:sz w:val="28"/>
          <w:szCs w:val="28"/>
          <w:lang w:eastAsia="zh-CN"/>
        </w:rPr>
      </w:pPr>
    </w:p>
    <w:p>
      <w:pPr>
        <w:ind w:firstLine="560" w:firstLineChars="200"/>
        <w:jc w:val="right"/>
        <w:rPr>
          <w:rStyle w:val="19"/>
          <w:rFonts w:hint="eastAsia" w:ascii="仿宋_GB2312" w:hAnsi="仿宋_GB2312" w:eastAsia="仿宋_GB2312" w:cs="Times New Roman"/>
          <w:sz w:val="28"/>
          <w:szCs w:val="28"/>
          <w:lang w:eastAsia="zh-CN"/>
        </w:rPr>
      </w:pPr>
      <w:r>
        <w:rPr>
          <w:rStyle w:val="19"/>
          <w:rFonts w:hint="eastAsia" w:ascii="仿宋_GB2312" w:hAnsi="仿宋_GB2312" w:eastAsia="仿宋_GB2312" w:cs="Times New Roman"/>
          <w:sz w:val="28"/>
          <w:szCs w:val="28"/>
          <w:lang w:val="en-US" w:eastAsia="zh-CN"/>
        </w:rPr>
        <w:t>杨海涛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1389" w:gutter="0"/>
      <w:pgNumType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2"/>
        <w:rFonts w:ascii="宋体" w:hAnsi="宋体"/>
        <w:sz w:val="28"/>
        <w:szCs w:val="28"/>
      </w:rPr>
    </w:pPr>
    <w:r>
      <w:rPr>
        <w:rStyle w:val="12"/>
        <w:rFonts w:hint="eastAsia" w:ascii="宋体" w:hAnsi="宋体"/>
        <w:sz w:val="28"/>
        <w:szCs w:val="28"/>
      </w:rPr>
      <w:t>—</w:t>
    </w:r>
    <w:r>
      <w:rPr>
        <w:rStyle w:val="12"/>
        <w:rFonts w:hint="eastAsia" w:ascii="宋体" w:hAnsi="宋体"/>
        <w:sz w:val="22"/>
        <w:szCs w:val="28"/>
      </w:rPr>
      <w:t xml:space="preserve"> </w:t>
    </w:r>
    <w:r>
      <w:rPr>
        <w:rStyle w:val="12"/>
        <w:rFonts w:ascii="宋体" w:hAnsi="宋体"/>
        <w:sz w:val="22"/>
        <w:szCs w:val="28"/>
      </w:rPr>
      <w:fldChar w:fldCharType="begin"/>
    </w:r>
    <w:r>
      <w:rPr>
        <w:rStyle w:val="12"/>
        <w:rFonts w:ascii="宋体" w:hAnsi="宋体"/>
        <w:sz w:val="22"/>
        <w:szCs w:val="28"/>
      </w:rPr>
      <w:instrText xml:space="preserve">PAGE  </w:instrText>
    </w:r>
    <w:r>
      <w:rPr>
        <w:rStyle w:val="12"/>
        <w:rFonts w:ascii="宋体" w:hAnsi="宋体"/>
        <w:sz w:val="22"/>
        <w:szCs w:val="28"/>
      </w:rPr>
      <w:fldChar w:fldCharType="separate"/>
    </w:r>
    <w:r>
      <w:rPr>
        <w:rStyle w:val="12"/>
        <w:rFonts w:ascii="宋体" w:hAnsi="宋体"/>
        <w:sz w:val="22"/>
        <w:szCs w:val="28"/>
      </w:rPr>
      <w:t>5</w:t>
    </w:r>
    <w:r>
      <w:rPr>
        <w:rStyle w:val="12"/>
        <w:rFonts w:ascii="宋体" w:hAnsi="宋体"/>
        <w:sz w:val="22"/>
        <w:szCs w:val="28"/>
      </w:rPr>
      <w:fldChar w:fldCharType="end"/>
    </w:r>
    <w:r>
      <w:rPr>
        <w:rStyle w:val="12"/>
        <w:rFonts w:hint="eastAsia"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038"/>
    <w:rsid w:val="00003FD9"/>
    <w:rsid w:val="00006A2B"/>
    <w:rsid w:val="00023F6A"/>
    <w:rsid w:val="000370A9"/>
    <w:rsid w:val="00060863"/>
    <w:rsid w:val="00075350"/>
    <w:rsid w:val="000838D8"/>
    <w:rsid w:val="0009547E"/>
    <w:rsid w:val="000A6B06"/>
    <w:rsid w:val="000B313D"/>
    <w:rsid w:val="000C10C8"/>
    <w:rsid w:val="000C51A4"/>
    <w:rsid w:val="000F3764"/>
    <w:rsid w:val="000F79D1"/>
    <w:rsid w:val="00103341"/>
    <w:rsid w:val="0010473B"/>
    <w:rsid w:val="00107021"/>
    <w:rsid w:val="00157E64"/>
    <w:rsid w:val="0016606B"/>
    <w:rsid w:val="00172F91"/>
    <w:rsid w:val="0017701A"/>
    <w:rsid w:val="00183193"/>
    <w:rsid w:val="00190875"/>
    <w:rsid w:val="00192DB3"/>
    <w:rsid w:val="001941D3"/>
    <w:rsid w:val="00195193"/>
    <w:rsid w:val="00195283"/>
    <w:rsid w:val="001A1ADA"/>
    <w:rsid w:val="001E4974"/>
    <w:rsid w:val="00202112"/>
    <w:rsid w:val="00203DFD"/>
    <w:rsid w:val="00232275"/>
    <w:rsid w:val="002439FD"/>
    <w:rsid w:val="002468E3"/>
    <w:rsid w:val="00252DF1"/>
    <w:rsid w:val="00256709"/>
    <w:rsid w:val="002568A4"/>
    <w:rsid w:val="00260A3B"/>
    <w:rsid w:val="00264396"/>
    <w:rsid w:val="0027587A"/>
    <w:rsid w:val="00282CCF"/>
    <w:rsid w:val="002B3CEE"/>
    <w:rsid w:val="002C2EC6"/>
    <w:rsid w:val="002C60FF"/>
    <w:rsid w:val="002F42C5"/>
    <w:rsid w:val="003004CA"/>
    <w:rsid w:val="003045F8"/>
    <w:rsid w:val="00335982"/>
    <w:rsid w:val="00345276"/>
    <w:rsid w:val="0034718E"/>
    <w:rsid w:val="003500E4"/>
    <w:rsid w:val="003524FA"/>
    <w:rsid w:val="00353985"/>
    <w:rsid w:val="00355529"/>
    <w:rsid w:val="003574EE"/>
    <w:rsid w:val="003638CC"/>
    <w:rsid w:val="00366263"/>
    <w:rsid w:val="00390479"/>
    <w:rsid w:val="003916D9"/>
    <w:rsid w:val="003A081D"/>
    <w:rsid w:val="003A15C2"/>
    <w:rsid w:val="003A70DB"/>
    <w:rsid w:val="003D20B2"/>
    <w:rsid w:val="003E4586"/>
    <w:rsid w:val="003F598B"/>
    <w:rsid w:val="0041147E"/>
    <w:rsid w:val="00430D7A"/>
    <w:rsid w:val="00445193"/>
    <w:rsid w:val="0049792A"/>
    <w:rsid w:val="004B0474"/>
    <w:rsid w:val="004B4DC3"/>
    <w:rsid w:val="004E1254"/>
    <w:rsid w:val="004F1DE7"/>
    <w:rsid w:val="0051279A"/>
    <w:rsid w:val="00516F0D"/>
    <w:rsid w:val="00533054"/>
    <w:rsid w:val="00541567"/>
    <w:rsid w:val="005452B0"/>
    <w:rsid w:val="00547AE2"/>
    <w:rsid w:val="00552625"/>
    <w:rsid w:val="00557F1C"/>
    <w:rsid w:val="00566EEF"/>
    <w:rsid w:val="00581DDE"/>
    <w:rsid w:val="005923CD"/>
    <w:rsid w:val="005947F3"/>
    <w:rsid w:val="00597736"/>
    <w:rsid w:val="005C21E7"/>
    <w:rsid w:val="005F3D72"/>
    <w:rsid w:val="005F7D32"/>
    <w:rsid w:val="00603044"/>
    <w:rsid w:val="00625B43"/>
    <w:rsid w:val="006439F5"/>
    <w:rsid w:val="0065008B"/>
    <w:rsid w:val="006630FF"/>
    <w:rsid w:val="0067193B"/>
    <w:rsid w:val="00671D88"/>
    <w:rsid w:val="00675311"/>
    <w:rsid w:val="00686F52"/>
    <w:rsid w:val="00691847"/>
    <w:rsid w:val="006974FA"/>
    <w:rsid w:val="006E706E"/>
    <w:rsid w:val="006F7868"/>
    <w:rsid w:val="0070782B"/>
    <w:rsid w:val="007117DE"/>
    <w:rsid w:val="00733236"/>
    <w:rsid w:val="0073518A"/>
    <w:rsid w:val="00735778"/>
    <w:rsid w:val="00747A34"/>
    <w:rsid w:val="007651EC"/>
    <w:rsid w:val="0077788A"/>
    <w:rsid w:val="00783097"/>
    <w:rsid w:val="007A00A5"/>
    <w:rsid w:val="007A31CA"/>
    <w:rsid w:val="007A515F"/>
    <w:rsid w:val="007B60BB"/>
    <w:rsid w:val="007D0557"/>
    <w:rsid w:val="007E063B"/>
    <w:rsid w:val="007E3BFB"/>
    <w:rsid w:val="007F72D9"/>
    <w:rsid w:val="008010C3"/>
    <w:rsid w:val="008161B2"/>
    <w:rsid w:val="00834EF2"/>
    <w:rsid w:val="00853940"/>
    <w:rsid w:val="00853EE8"/>
    <w:rsid w:val="0085764D"/>
    <w:rsid w:val="0086468B"/>
    <w:rsid w:val="00876748"/>
    <w:rsid w:val="0088303B"/>
    <w:rsid w:val="00890B6A"/>
    <w:rsid w:val="00895CFF"/>
    <w:rsid w:val="008C0987"/>
    <w:rsid w:val="008C0BF3"/>
    <w:rsid w:val="008E45A1"/>
    <w:rsid w:val="008F27DC"/>
    <w:rsid w:val="008F585E"/>
    <w:rsid w:val="008F738C"/>
    <w:rsid w:val="009003F9"/>
    <w:rsid w:val="0091618F"/>
    <w:rsid w:val="009205BF"/>
    <w:rsid w:val="00933017"/>
    <w:rsid w:val="009560B9"/>
    <w:rsid w:val="009615F3"/>
    <w:rsid w:val="00976028"/>
    <w:rsid w:val="009765BA"/>
    <w:rsid w:val="0098153B"/>
    <w:rsid w:val="00984A16"/>
    <w:rsid w:val="00985F91"/>
    <w:rsid w:val="00986467"/>
    <w:rsid w:val="009D115A"/>
    <w:rsid w:val="009E151A"/>
    <w:rsid w:val="009F17A0"/>
    <w:rsid w:val="00A02FB5"/>
    <w:rsid w:val="00A25BF6"/>
    <w:rsid w:val="00A41B23"/>
    <w:rsid w:val="00A65257"/>
    <w:rsid w:val="00A91A14"/>
    <w:rsid w:val="00AA5B6D"/>
    <w:rsid w:val="00AF3347"/>
    <w:rsid w:val="00AF4F09"/>
    <w:rsid w:val="00B004C0"/>
    <w:rsid w:val="00B1649E"/>
    <w:rsid w:val="00B43EC5"/>
    <w:rsid w:val="00B50AE2"/>
    <w:rsid w:val="00B520F5"/>
    <w:rsid w:val="00B5460C"/>
    <w:rsid w:val="00B61B3B"/>
    <w:rsid w:val="00B63F29"/>
    <w:rsid w:val="00B767BA"/>
    <w:rsid w:val="00B836A5"/>
    <w:rsid w:val="00B957AC"/>
    <w:rsid w:val="00B96AE8"/>
    <w:rsid w:val="00BA6EF2"/>
    <w:rsid w:val="00BC6F11"/>
    <w:rsid w:val="00BD0E0E"/>
    <w:rsid w:val="00BD366E"/>
    <w:rsid w:val="00BE495F"/>
    <w:rsid w:val="00C07AF4"/>
    <w:rsid w:val="00C12C26"/>
    <w:rsid w:val="00C206D8"/>
    <w:rsid w:val="00C52622"/>
    <w:rsid w:val="00C62B73"/>
    <w:rsid w:val="00C632D6"/>
    <w:rsid w:val="00C77768"/>
    <w:rsid w:val="00C82CD1"/>
    <w:rsid w:val="00C92E14"/>
    <w:rsid w:val="00C93339"/>
    <w:rsid w:val="00C9656E"/>
    <w:rsid w:val="00CD098B"/>
    <w:rsid w:val="00CF0A23"/>
    <w:rsid w:val="00D10113"/>
    <w:rsid w:val="00D154A3"/>
    <w:rsid w:val="00D2530B"/>
    <w:rsid w:val="00D32DE2"/>
    <w:rsid w:val="00D35C2A"/>
    <w:rsid w:val="00D40365"/>
    <w:rsid w:val="00D448FA"/>
    <w:rsid w:val="00D47280"/>
    <w:rsid w:val="00D50F14"/>
    <w:rsid w:val="00D73E6B"/>
    <w:rsid w:val="00D76FE2"/>
    <w:rsid w:val="00D82278"/>
    <w:rsid w:val="00D9303F"/>
    <w:rsid w:val="00D95243"/>
    <w:rsid w:val="00DA2173"/>
    <w:rsid w:val="00DA6038"/>
    <w:rsid w:val="00DC2FBD"/>
    <w:rsid w:val="00DD00C9"/>
    <w:rsid w:val="00DE7981"/>
    <w:rsid w:val="00E206F8"/>
    <w:rsid w:val="00E242B7"/>
    <w:rsid w:val="00E6740B"/>
    <w:rsid w:val="00E72F5A"/>
    <w:rsid w:val="00E759DC"/>
    <w:rsid w:val="00E82700"/>
    <w:rsid w:val="00EA438E"/>
    <w:rsid w:val="00EB0F15"/>
    <w:rsid w:val="00EB4488"/>
    <w:rsid w:val="00EC654C"/>
    <w:rsid w:val="00EC7937"/>
    <w:rsid w:val="00ED1F7E"/>
    <w:rsid w:val="00F1739A"/>
    <w:rsid w:val="00F4098D"/>
    <w:rsid w:val="00F5058E"/>
    <w:rsid w:val="00F5766F"/>
    <w:rsid w:val="00F57D25"/>
    <w:rsid w:val="00F6365F"/>
    <w:rsid w:val="00F7051A"/>
    <w:rsid w:val="00FA6C29"/>
    <w:rsid w:val="00FC7862"/>
    <w:rsid w:val="00FD2D90"/>
    <w:rsid w:val="00FE3975"/>
    <w:rsid w:val="00FF2F47"/>
    <w:rsid w:val="01834D44"/>
    <w:rsid w:val="10D7240B"/>
    <w:rsid w:val="18BE5AA5"/>
    <w:rsid w:val="20063A89"/>
    <w:rsid w:val="2E2E523E"/>
    <w:rsid w:val="3B322D47"/>
    <w:rsid w:val="3E11666E"/>
    <w:rsid w:val="46ED6DB6"/>
    <w:rsid w:val="4EF85CA5"/>
    <w:rsid w:val="4F144C24"/>
    <w:rsid w:val="528E759D"/>
    <w:rsid w:val="550C1E39"/>
    <w:rsid w:val="55FB5024"/>
    <w:rsid w:val="690D2833"/>
    <w:rsid w:val="75EA6A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8"/>
    <w:unhideWhenUsed/>
    <w:qFormat/>
    <w:uiPriority w:val="0"/>
    <w:pPr>
      <w:spacing w:line="560" w:lineRule="exact"/>
      <w:outlineLvl w:val="1"/>
    </w:pPr>
    <w:rPr>
      <w:rFonts w:ascii="仿宋_GB2312" w:eastAsia="仿宋_GB2312"/>
      <w:b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eastAsia="仿宋_GB2312"/>
      <w:spacing w:val="-6"/>
      <w:kern w:val="10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7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5">
    <w:name w:val="页眉 Char"/>
    <w:basedOn w:val="10"/>
    <w:link w:val="5"/>
    <w:qFormat/>
    <w:uiPriority w:val="0"/>
    <w:rPr>
      <w:kern w:val="2"/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HTML 预设格式 Char"/>
    <w:basedOn w:val="10"/>
    <w:link w:val="6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8">
    <w:name w:val="标题 2 Char"/>
    <w:basedOn w:val="10"/>
    <w:link w:val="2"/>
    <w:qFormat/>
    <w:uiPriority w:val="0"/>
    <w:rPr>
      <w:rFonts w:ascii="仿宋_GB2312" w:hAnsi="Times New Roman" w:eastAsia="仿宋_GB2312" w:cs="Times New Roman"/>
      <w:b/>
      <w:kern w:val="2"/>
      <w:sz w:val="32"/>
      <w:szCs w:val="32"/>
    </w:rPr>
  </w:style>
  <w:style w:type="character" w:customStyle="1" w:styleId="19">
    <w:name w:val="NormalCharacter"/>
    <w:semiHidden/>
    <w:qFormat/>
    <w:uiPriority w:val="0"/>
  </w:style>
  <w:style w:type="paragraph" w:customStyle="1" w:styleId="20">
    <w:name w:val="HtmlNormal"/>
    <w:basedOn w:val="1"/>
    <w:qFormat/>
    <w:uiPriority w:val="0"/>
    <w:pPr>
      <w:spacing w:before="100" w:beforeAutospacing="1" w:after="100" w:afterAutospacing="1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53B14E-1AE3-4868-BD94-9A2AF33E27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chalco</Company>
  <Pages>5</Pages>
  <Words>361</Words>
  <Characters>2064</Characters>
  <Lines>17</Lines>
  <Paragraphs>4</Paragraphs>
  <TotalTime>5</TotalTime>
  <ScaleCrop>false</ScaleCrop>
  <LinksUpToDate>false</LinksUpToDate>
  <CharactersWithSpaces>2421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2020-12-25T03:03:00Z</dcterms:created>
  <dc:creator>吴光佳</dc:creator>
  <cp:lastModifiedBy>木央</cp:lastModifiedBy>
  <cp:lastPrinted>2021-01-06T05:05:00Z</cp:lastPrinted>
  <dcterms:modified xsi:type="dcterms:W3CDTF">2021-07-27T07:32:44Z</dcterms:modified>
  <dc:title>中铝研字〔2015〕12号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