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numPr>
          <w:ilvl w:val="0"/>
          <w:numId w:val="0"/>
        </w:numPr>
        <w:jc w:val="center"/>
      </w:pPr>
      <w:r>
        <w:rPr>
          <w:rFonts w:hint="eastAsia" w:ascii="Calibri" w:hAnsi="仿宋" w:eastAsia="宋体" w:cs="仿宋"/>
        </w:rPr>
        <w:t>西南铝：</w:t>
      </w:r>
      <w:r>
        <w:rPr>
          <w:rFonts w:hint="eastAsia" w:ascii="Calibri Light" w:hAnsi="Calibri Light" w:eastAsia="宋体" w:cs="Times New Roman"/>
        </w:rPr>
        <w:t>信息化</w:t>
      </w:r>
      <w:r>
        <w:rPr>
          <w:rFonts w:hint="eastAsia"/>
        </w:rPr>
        <w:t>助力节能降碳</w:t>
      </w:r>
    </w:p>
    <w:p>
      <w:pPr>
        <w:ind w:firstLine="482"/>
        <w:rPr>
          <w:b/>
        </w:rPr>
      </w:pPr>
      <w:r>
        <w:rPr>
          <w:rFonts w:hint="eastAsia"/>
          <w:b/>
        </w:rPr>
        <w:t>企业简介</w:t>
      </w:r>
    </w:p>
    <w:p>
      <w:pPr>
        <w:widowControl/>
        <w:ind w:firstLine="480"/>
        <w:jc w:val="left"/>
        <w:rPr>
          <w:rFonts w:hint="eastAsia" w:ascii="Calibri" w:hAnsi="仿宋" w:cs="仿宋" w:eastAsiaTheme="minorEastAsia"/>
          <w:lang w:eastAsia="zh-CN"/>
        </w:rPr>
      </w:pPr>
      <w:r>
        <w:rPr>
          <w:rFonts w:hint="eastAsia" w:ascii="Calibri" w:hAnsi="仿宋" w:eastAsia="宋体" w:cs="仿宋"/>
        </w:rPr>
        <w:t>西南铝业（集团）有限责任公司（下简称西南铝）位于重庆市九龙坡区西彭镇，</w:t>
      </w:r>
      <w:r>
        <w:rPr>
          <w:rFonts w:hint="eastAsia" w:ascii="Calibri" w:hAnsi="仿宋" w:eastAsia="宋体" w:cs="仿宋"/>
          <w:lang w:eastAsia="zh-CN"/>
        </w:rPr>
        <w:t>建于</w:t>
      </w:r>
      <w:r>
        <w:rPr>
          <w:rFonts w:ascii="Calibri" w:hAnsi="仿宋" w:eastAsia="宋体" w:cs="仿宋"/>
        </w:rPr>
        <w:t>我国20世纪60年代初</w:t>
      </w:r>
      <w:r>
        <w:rPr>
          <w:rFonts w:hint="eastAsia" w:ascii="Calibri" w:hAnsi="仿宋" w:eastAsia="宋体" w:cs="仿宋"/>
        </w:rPr>
        <w:t>。</w:t>
      </w:r>
      <w:r>
        <w:rPr>
          <w:rFonts w:hint="eastAsia" w:ascii="Calibri" w:hAnsi="仿宋" w:eastAsia="宋体" w:cs="仿宋"/>
          <w:lang w:val="en-US" w:eastAsia="zh-CN"/>
        </w:rPr>
        <w:t>2016年起，西南铝开展</w:t>
      </w:r>
      <w:r>
        <w:rPr>
          <w:rFonts w:hint="eastAsia"/>
        </w:rPr>
        <w:t>能源管理系统的建设、运用，</w:t>
      </w:r>
      <w:r>
        <w:rPr>
          <w:rFonts w:hint="eastAsia"/>
          <w:lang w:eastAsia="zh-CN"/>
        </w:rPr>
        <w:t>在</w:t>
      </w:r>
      <w:r>
        <w:rPr>
          <w:rFonts w:hint="eastAsia"/>
        </w:rPr>
        <w:t>用能管理</w:t>
      </w:r>
      <w:r>
        <w:rPr>
          <w:rFonts w:hint="eastAsia"/>
          <w:lang w:eastAsia="zh-CN"/>
        </w:rPr>
        <w:t>上取得了</w:t>
      </w:r>
      <w:r>
        <w:rPr>
          <w:rFonts w:hint="eastAsia"/>
        </w:rPr>
        <w:t>经验</w:t>
      </w:r>
      <w:r>
        <w:rPr>
          <w:rFonts w:hint="eastAsia"/>
          <w:lang w:eastAsia="zh-CN"/>
        </w:rPr>
        <w:t>。</w:t>
      </w:r>
    </w:p>
    <w:p>
      <w:pPr>
        <w:ind w:firstLine="482"/>
        <w:rPr>
          <w:rFonts w:hAnsi="仿宋" w:cs="仿宋"/>
          <w:b/>
        </w:rPr>
      </w:pPr>
      <w:r>
        <w:rPr>
          <w:rFonts w:hint="eastAsia"/>
          <w:b/>
        </w:rPr>
        <w:t>背景</w:t>
      </w:r>
    </w:p>
    <w:p>
      <w:pPr>
        <w:widowControl/>
        <w:ind w:firstLine="480"/>
        <w:jc w:val="left"/>
        <w:rPr>
          <w:rFonts w:hint="eastAsia" w:ascii="Calibri" w:hAnsi="仿宋" w:eastAsia="宋体" w:cs="仿宋"/>
          <w:lang w:eastAsia="zh-CN"/>
        </w:rPr>
      </w:pPr>
      <w:r>
        <w:rPr>
          <w:rFonts w:hint="eastAsia" w:ascii="Calibri" w:hAnsi="仿宋" w:eastAsia="宋体" w:cs="仿宋"/>
        </w:rPr>
        <w:t>近年来，国内铝加工行业发展迅猛，美国进行“双反”调查并对铝产品加征关税</w:t>
      </w:r>
      <w:r>
        <w:rPr>
          <w:rFonts w:hint="eastAsia" w:ascii="Calibri" w:hAnsi="仿宋" w:eastAsia="宋体" w:cs="仿宋"/>
        </w:rPr>
        <w:t>，市场竞争日趋激烈，对西南铝造成了较大的冲击</w:t>
      </w:r>
      <w:r>
        <w:rPr>
          <w:rFonts w:ascii="Calibri" w:hAnsi="仿宋" w:eastAsia="宋体" w:cs="仿宋"/>
        </w:rPr>
        <w:t>。</w:t>
      </w:r>
      <w:r>
        <w:rPr>
          <w:rFonts w:hint="eastAsia" w:ascii="Calibri" w:hAnsi="仿宋" w:eastAsia="宋体" w:cs="仿宋"/>
        </w:rPr>
        <w:t>西南铝的能源成本在加工成本中占比较大，因此，</w:t>
      </w:r>
      <w:r>
        <w:rPr>
          <w:rFonts w:ascii="Calibri" w:hAnsi="仿宋" w:eastAsia="宋体" w:cs="仿宋"/>
        </w:rPr>
        <w:t>提高能源管理水平，</w:t>
      </w:r>
      <w:r>
        <w:rPr>
          <w:rFonts w:hint="eastAsia" w:ascii="Calibri" w:hAnsi="仿宋" w:eastAsia="宋体" w:cs="仿宋"/>
        </w:rPr>
        <w:t>降低</w:t>
      </w:r>
      <w:r>
        <w:rPr>
          <w:rFonts w:ascii="Calibri" w:hAnsi="仿宋" w:eastAsia="宋体" w:cs="仿宋"/>
        </w:rPr>
        <w:t>能源</w:t>
      </w:r>
      <w:r>
        <w:rPr>
          <w:rFonts w:hint="eastAsia" w:ascii="Calibri" w:hAnsi="仿宋" w:eastAsia="宋体" w:cs="仿宋"/>
        </w:rPr>
        <w:t>消耗是企业降低生产成本、</w:t>
      </w:r>
      <w:r>
        <w:rPr>
          <w:rFonts w:ascii="Calibri" w:hAnsi="仿宋" w:eastAsia="宋体" w:cs="仿宋"/>
        </w:rPr>
        <w:t>提升降碳行动社会影响力</w:t>
      </w:r>
      <w:r>
        <w:rPr>
          <w:rFonts w:hint="eastAsia" w:ascii="Calibri" w:hAnsi="仿宋" w:eastAsia="宋体" w:cs="仿宋"/>
        </w:rPr>
        <w:t>的方式，也是西南铝覆行社会责任的需要</w:t>
      </w:r>
      <w:r>
        <w:rPr>
          <w:rFonts w:ascii="Calibri" w:hAnsi="仿宋" w:eastAsia="宋体" w:cs="仿宋"/>
        </w:rPr>
        <w:t>。</w:t>
      </w:r>
      <w:bookmarkStart w:id="0" w:name="_Toc319400288"/>
      <w:r>
        <w:rPr>
          <w:rFonts w:hint="eastAsia" w:ascii="Calibri" w:hAnsi="仿宋" w:eastAsia="宋体" w:cs="仿宋"/>
        </w:rPr>
        <w:t>西南铝</w:t>
      </w:r>
      <w:r>
        <w:rPr>
          <w:rFonts w:hint="eastAsia" w:ascii="Calibri" w:hAnsi="仿宋" w:eastAsia="宋体" w:cs="仿宋"/>
          <w:lang w:eastAsia="zh-CN"/>
        </w:rPr>
        <w:t>的</w:t>
      </w:r>
      <w:r>
        <w:rPr>
          <w:rFonts w:hint="eastAsia" w:ascii="Calibri" w:hAnsi="仿宋" w:eastAsia="宋体" w:cs="仿宋"/>
        </w:rPr>
        <w:t>产品结构复杂，一台设备生产多个产品的情况普遍存在，增加了能源管理和节能降碳的难度</w:t>
      </w:r>
      <w:r>
        <w:rPr>
          <w:rFonts w:hint="eastAsia" w:ascii="Calibri" w:hAnsi="仿宋" w:eastAsia="宋体" w:cs="仿宋"/>
          <w:lang w:eastAsia="zh-CN"/>
        </w:rPr>
        <w:t>，</w:t>
      </w:r>
      <w:r>
        <w:rPr>
          <w:rFonts w:hint="eastAsia" w:ascii="Calibri" w:hAnsi="仿宋" w:eastAsia="宋体" w:cs="仿宋"/>
        </w:rPr>
        <w:t>未实现能源消费</w:t>
      </w:r>
      <w:r>
        <w:rPr>
          <w:rFonts w:hint="eastAsia" w:ascii="Calibri" w:hAnsi="仿宋" w:eastAsia="宋体" w:cs="仿宋"/>
          <w:lang w:eastAsia="zh-CN"/>
        </w:rPr>
        <w:t>全</w:t>
      </w:r>
      <w:r>
        <w:rPr>
          <w:rFonts w:hint="eastAsia" w:ascii="Calibri" w:hAnsi="仿宋" w:eastAsia="宋体" w:cs="仿宋"/>
        </w:rPr>
        <w:t>过程监控</w:t>
      </w:r>
      <w:bookmarkEnd w:id="0"/>
      <w:r>
        <w:rPr>
          <w:rFonts w:hint="eastAsia" w:ascii="Calibri" w:hAnsi="仿宋" w:eastAsia="宋体" w:cs="仿宋"/>
          <w:lang w:eastAsia="zh-CN"/>
        </w:rPr>
        <w:t>。</w:t>
      </w:r>
    </w:p>
    <w:p>
      <w:pPr>
        <w:widowControl/>
        <w:ind w:firstLine="480"/>
        <w:jc w:val="left"/>
      </w:pPr>
      <w:r>
        <w:rPr>
          <w:rFonts w:hint="eastAsia"/>
          <w:b/>
        </w:rPr>
        <w:t>解决方案</w:t>
      </w:r>
    </w:p>
    <w:p>
      <w:pPr>
        <w:widowControl/>
        <w:ind w:firstLine="480"/>
        <w:jc w:val="left"/>
        <w:rPr>
          <w:rFonts w:ascii="Calibri" w:hAnsi="仿宋" w:eastAsia="宋体" w:cs="仿宋"/>
        </w:rPr>
      </w:pPr>
      <w:r>
        <w:rPr>
          <w:rFonts w:hint="eastAsia" w:ascii="Calibri" w:hAnsi="仿宋" w:eastAsia="宋体" w:cs="仿宋"/>
        </w:rPr>
        <w:t>西南铝积极响应围家节能减排、绿色发展的新形势、新要求，通过提高企业信息化水平——建设能源管理监控系统，</w:t>
      </w:r>
      <w:r>
        <w:rPr>
          <w:rFonts w:ascii="Calibri" w:hAnsi="仿宋" w:eastAsia="宋体" w:cs="仿宋"/>
        </w:rPr>
        <w:t>提高能源管理</w:t>
      </w:r>
      <w:r>
        <w:rPr>
          <w:rFonts w:hint="eastAsia" w:ascii="Calibri" w:hAnsi="仿宋" w:eastAsia="宋体" w:cs="仿宋"/>
        </w:rPr>
        <w:t>以及</w:t>
      </w:r>
      <w:r>
        <w:rPr>
          <w:rFonts w:ascii="Calibri" w:hAnsi="仿宋" w:eastAsia="宋体" w:cs="仿宋"/>
        </w:rPr>
        <w:t>节能</w:t>
      </w:r>
      <w:r>
        <w:rPr>
          <w:rFonts w:hint="eastAsia" w:ascii="Calibri" w:hAnsi="仿宋" w:eastAsia="宋体" w:cs="仿宋"/>
        </w:rPr>
        <w:t>降</w:t>
      </w:r>
      <w:r>
        <w:rPr>
          <w:rFonts w:ascii="Calibri" w:hAnsi="仿宋" w:eastAsia="宋体" w:cs="仿宋"/>
        </w:rPr>
        <w:t>耗水平</w:t>
      </w:r>
      <w:r>
        <w:rPr>
          <w:rFonts w:hint="eastAsia" w:ascii="Calibri" w:hAnsi="仿宋" w:eastAsia="宋体" w:cs="仿宋"/>
        </w:rPr>
        <w:t>，实现</w:t>
      </w:r>
      <w:r>
        <w:rPr>
          <w:rFonts w:ascii="Calibri" w:hAnsi="仿宋" w:eastAsia="宋体" w:cs="仿宋"/>
        </w:rPr>
        <w:t>企</w:t>
      </w:r>
      <w:r>
        <w:rPr>
          <w:rFonts w:hint="eastAsia" w:ascii="Calibri" w:hAnsi="仿宋" w:eastAsia="宋体" w:cs="仿宋"/>
        </w:rPr>
        <w:t xml:space="preserve">业的可持续发展。 </w:t>
      </w:r>
    </w:p>
    <w:p>
      <w:pPr>
        <w:widowControl/>
        <w:ind w:firstLine="482"/>
        <w:jc w:val="left"/>
        <w:rPr>
          <w:b/>
        </w:rPr>
      </w:pPr>
      <w:r>
        <w:rPr>
          <w:rFonts w:hint="eastAsia"/>
          <w:b/>
        </w:rPr>
        <w:t>一、建设能源管理信息化系统</w:t>
      </w:r>
    </w:p>
    <w:p>
      <w:pPr>
        <w:widowControl/>
        <w:ind w:firstLine="480"/>
        <w:jc w:val="left"/>
        <w:rPr>
          <w:rFonts w:ascii="Calibri" w:hAnsi="仿宋" w:eastAsia="宋体" w:cs="仿宋"/>
        </w:rPr>
      </w:pPr>
      <w:r>
        <w:rPr>
          <w:rFonts w:hint="eastAsia" w:ascii="Calibri" w:hAnsi="仿宋" w:eastAsia="宋体" w:cs="仿宋"/>
        </w:rPr>
        <w:t>根据西南铝的设备和生产情况，定制开发了基础能源管理系统软件—EMS系统和能源管理过程实时监控系统—SCADA系统，两大系统共同组成西南铝能源管理系统，分别用于能源数据的利用分析和过程数据的监控。</w:t>
      </w:r>
    </w:p>
    <w:p>
      <w:pPr>
        <w:widowControl/>
        <w:ind w:firstLine="482"/>
        <w:jc w:val="left"/>
        <w:rPr>
          <w:b/>
        </w:rPr>
      </w:pPr>
      <w:r>
        <w:rPr>
          <w:rFonts w:hint="eastAsia"/>
          <w:b/>
        </w:rPr>
        <w:t>二、应用能源管理系统，强化能源管理</w:t>
      </w:r>
    </w:p>
    <w:p>
      <w:pPr>
        <w:widowControl/>
        <w:ind w:firstLine="480"/>
        <w:jc w:val="left"/>
        <w:rPr>
          <w:rFonts w:ascii="Calibri" w:hAnsi="仿宋" w:eastAsia="宋体" w:cs="仿宋"/>
        </w:rPr>
      </w:pPr>
      <w:r>
        <w:rPr>
          <w:rFonts w:hint="eastAsia" w:ascii="Calibri" w:hAnsi="仿宋" w:eastAsia="宋体" w:cs="仿宋"/>
        </w:rPr>
        <w:t>通过能源管理系统，将计量表状态和工况进行统一显示，由专人负责发现、处理计量异常情况，确保能源数据的准确、可靠和真实性。</w:t>
      </w:r>
    </w:p>
    <w:p>
      <w:pPr>
        <w:widowControl/>
        <w:ind w:firstLine="480"/>
        <w:jc w:val="left"/>
        <w:rPr>
          <w:rFonts w:ascii="Calibri" w:hAnsi="仿宋" w:eastAsia="宋体" w:cs="仿宋"/>
        </w:rPr>
      </w:pPr>
      <w:r>
        <w:rPr>
          <w:rFonts w:hint="eastAsia" w:ascii="Calibri" w:hAnsi="仿宋" w:eastAsia="宋体" w:cs="仿宋"/>
        </w:rPr>
        <w:t>利用能源管理系统快速生成日报、周报等不同周期的报表，获得评价各工序及重点设备能源消耗的客观依据</w:t>
      </w:r>
      <w:r>
        <w:rPr>
          <w:rFonts w:hint="eastAsia" w:ascii="Calibri" w:hAnsi="仿宋" w:eastAsia="宋体" w:cs="仿宋"/>
          <w:lang w:eastAsia="zh-CN"/>
        </w:rPr>
        <w:t>，</w:t>
      </w:r>
      <w:r>
        <w:rPr>
          <w:rFonts w:hint="eastAsia" w:ascii="Calibri" w:hAnsi="仿宋" w:eastAsia="宋体" w:cs="仿宋"/>
        </w:rPr>
        <w:t>能效分析时间大幅缩短，有效快速指导、发现用能异常，减少能源空耗。</w:t>
      </w:r>
    </w:p>
    <w:p>
      <w:pPr>
        <w:ind w:firstLine="480"/>
        <w:jc w:val="left"/>
        <w:rPr>
          <w:rFonts w:ascii="Calibri" w:hAnsi="仿宋" w:eastAsia="宋体" w:cs="仿宋"/>
        </w:rPr>
      </w:pPr>
      <w:r>
        <w:rPr>
          <w:rFonts w:hint="eastAsia" w:ascii="Calibri" w:hAnsi="仿宋" w:eastAsia="宋体" w:cs="仿宋"/>
        </w:rPr>
        <w:t>利用能源管理系统将670块能源计量仪表的累计、瞬时参数以及公司主要运行设备和26个供能站所中与能源使用高度相关的运行参数进行实时监控和显示，将设备参数、产品信息与能源相关参数如包含压力、流量、启停等信号进行对比分析，查找能源异常和浪费、探索新的节能措施。将发现的能源浪费现象通过能源管理系统公布，规定时限进行整改，对整改不及时的现象严格进行通报和考核。利用能源管理系统，西南铝正在逐步实现能源的定量、精准管理。</w:t>
      </w:r>
    </w:p>
    <w:p>
      <w:pPr>
        <w:widowControl/>
        <w:ind w:firstLine="482"/>
        <w:jc w:val="left"/>
        <w:rPr>
          <w:b/>
          <w:bCs/>
        </w:rPr>
      </w:pPr>
      <w:r>
        <w:rPr>
          <w:rFonts w:hint="eastAsia"/>
          <w:b/>
        </w:rPr>
        <w:t>三、</w:t>
      </w:r>
      <w:r>
        <w:rPr>
          <w:rFonts w:hint="eastAsia"/>
          <w:b/>
          <w:bCs/>
        </w:rPr>
        <w:t>持续改进、推广应用</w:t>
      </w:r>
    </w:p>
    <w:p>
      <w:pPr>
        <w:ind w:firstLine="480"/>
        <w:jc w:val="left"/>
        <w:rPr>
          <w:rFonts w:hint="eastAsia" w:ascii="Calibri" w:hAnsi="仿宋" w:eastAsia="宋体" w:cs="仿宋"/>
          <w:lang w:eastAsia="zh-CN"/>
        </w:rPr>
      </w:pPr>
      <w:r>
        <w:rPr>
          <w:rFonts w:hint="eastAsia" w:ascii="Calibri" w:hAnsi="仿宋" w:eastAsia="宋体" w:cs="仿宋"/>
        </w:rPr>
        <w:t>西南铝不断总结经验，并根据积累的节能经验和技术，摸索、完善、增加能管系统的功能。2018年新增采集点133个、优化了能源管理模块、增加了设备能耗台账、对报表功能也做了相应修改。同时，西南铝根据各个生产厂、各个工种的实际情况，针对性地进行了能源管理系统应用培训，对因岗位变动的关键节能人员及时进行全覆盖培训，确保关键岗位人员熟练运用能源管理系统开展能源管理工作</w:t>
      </w:r>
      <w:r>
        <w:rPr>
          <w:rFonts w:hint="eastAsia" w:ascii="Calibri" w:hAnsi="仿宋" w:eastAsia="宋体" w:cs="仿宋"/>
          <w:lang w:eastAsia="zh-CN"/>
        </w:rPr>
        <w:t>。</w:t>
      </w:r>
    </w:p>
    <w:p>
      <w:pPr>
        <w:ind w:firstLine="480"/>
        <w:jc w:val="left"/>
        <w:rPr>
          <w:rFonts w:ascii="Calibri" w:hAnsi="仿宋" w:eastAsia="宋体" w:cs="仿宋"/>
        </w:rPr>
      </w:pPr>
      <w:r>
        <w:rPr>
          <w:rFonts w:ascii="Calibri" w:hAnsi="仿宋" w:eastAsia="宋体" w:cs="仿宋"/>
        </w:rPr>
        <w:drawing>
          <wp:inline distT="0" distB="0" distL="0" distR="0">
            <wp:extent cx="5215890" cy="3013075"/>
            <wp:effectExtent l="19050" t="0" r="3642" b="0"/>
            <wp:docPr id="14" name="图片 1" descr="C:\Users\lenovo\AppData\Local\Temp\154573164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descr="C:\Users\lenovo\AppData\Local\Temp\1545731642(1).png"/>
                    <pic:cNvPicPr>
                      <a:picLocks noChangeAspect="1" noChangeArrowheads="1"/>
                    </pic:cNvPicPr>
                  </pic:nvPicPr>
                  <pic:blipFill>
                    <a:blip r:embed="rId10" cstate="print"/>
                    <a:srcRect/>
                    <a:stretch>
                      <a:fillRect/>
                    </a:stretch>
                  </pic:blipFill>
                  <pic:spPr>
                    <a:xfrm>
                      <a:off x="0" y="0"/>
                      <a:ext cx="5224947" cy="3018680"/>
                    </a:xfrm>
                    <a:prstGeom prst="rect">
                      <a:avLst/>
                    </a:prstGeom>
                    <a:noFill/>
                    <a:ln w="9525">
                      <a:noFill/>
                      <a:miter lim="800000"/>
                      <a:headEnd/>
                      <a:tailEnd/>
                    </a:ln>
                  </pic:spPr>
                </pic:pic>
              </a:graphicData>
            </a:graphic>
          </wp:inline>
        </w:drawing>
      </w:r>
    </w:p>
    <w:p>
      <w:pPr>
        <w:ind w:firstLine="480"/>
        <w:jc w:val="center"/>
        <w:rPr>
          <w:rFonts w:ascii="Calibri" w:hAnsi="仿宋" w:eastAsia="宋体" w:cs="仿宋"/>
        </w:rPr>
      </w:pPr>
      <w:r>
        <w:rPr>
          <w:rFonts w:hint="eastAsia" w:ascii="Calibri" w:hAnsi="仿宋" w:eastAsia="宋体" w:cs="仿宋"/>
        </w:rPr>
        <w:t>图1西南铝能源管理系统应用培训</w:t>
      </w:r>
    </w:p>
    <w:p>
      <w:pPr>
        <w:ind w:firstLine="480"/>
        <w:jc w:val="left"/>
        <w:rPr>
          <w:rFonts w:ascii="Calibri" w:hAnsi="仿宋" w:eastAsia="宋体" w:cs="仿宋"/>
        </w:rPr>
      </w:pPr>
    </w:p>
    <w:p>
      <w:pPr>
        <w:ind w:firstLine="482"/>
        <w:rPr>
          <w:rFonts w:hAnsi="仿宋_GB2312" w:cs="仿宋_GB2312"/>
          <w:b/>
        </w:rPr>
      </w:pPr>
      <w:r>
        <w:rPr>
          <w:rFonts w:hint="eastAsia"/>
          <w:b/>
        </w:rPr>
        <w:t>成效</w:t>
      </w:r>
    </w:p>
    <w:p>
      <w:pPr>
        <w:widowControl/>
        <w:ind w:firstLine="482"/>
        <w:jc w:val="left"/>
        <w:rPr>
          <w:b/>
        </w:rPr>
      </w:pPr>
      <w:r>
        <w:rPr>
          <w:rFonts w:hint="eastAsia" w:hAnsi="仿宋_GB2312" w:cs="仿宋_GB2312"/>
          <w:b/>
        </w:rPr>
        <w:t>一、</w:t>
      </w:r>
      <w:r>
        <w:rPr>
          <w:rFonts w:hint="eastAsia"/>
          <w:b/>
        </w:rPr>
        <w:t>节约能源、降低生产成本</w:t>
      </w:r>
    </w:p>
    <w:p>
      <w:pPr>
        <w:widowControl/>
        <w:ind w:firstLine="480"/>
        <w:jc w:val="left"/>
      </w:pPr>
      <w:r>
        <w:rPr>
          <w:rFonts w:hint="eastAsia"/>
        </w:rPr>
        <w:t>能</w:t>
      </w:r>
      <w:r>
        <w:rPr>
          <w:rFonts w:hint="eastAsia"/>
          <w:lang w:eastAsia="zh-CN"/>
        </w:rPr>
        <w:t>源</w:t>
      </w:r>
      <w:r>
        <w:rPr>
          <w:rFonts w:hint="eastAsia"/>
        </w:rPr>
        <w:t>管</w:t>
      </w:r>
      <w:r>
        <w:rPr>
          <w:rFonts w:hint="eastAsia"/>
          <w:lang w:eastAsia="zh-CN"/>
        </w:rPr>
        <w:t>理</w:t>
      </w:r>
      <w:r>
        <w:rPr>
          <w:rFonts w:hint="eastAsia"/>
        </w:rPr>
        <w:t>系统于2016年建成后，持续发挥着节能降碳作用。通过能源管理系统进一步强化用能管理、挖掘装备节能技术潜力，2018年</w:t>
      </w:r>
      <w:r>
        <w:rPr>
          <w:rFonts w:hint="eastAsia" w:ascii="Calibri" w:hAnsi="Calibri" w:eastAsia="宋体" w:cs="Times New Roman"/>
        </w:rPr>
        <w:t>节约电551万度，节约天然气203.25万方，节约新水30.4 万吨，节约循环水67万吨，节约压缩空气869万方，</w:t>
      </w:r>
      <w:r>
        <w:rPr>
          <w:rFonts w:hint="eastAsia"/>
        </w:rPr>
        <w:t>减少能源费用885</w:t>
      </w:r>
      <w:r>
        <w:rPr>
          <w:rFonts w:hint="eastAsia" w:ascii="Calibri" w:hAnsi="Calibri" w:eastAsia="宋体" w:cs="Times New Roman"/>
        </w:rPr>
        <w:t>万元</w:t>
      </w:r>
      <w:r>
        <w:rPr>
          <w:rFonts w:hint="eastAsia"/>
        </w:rPr>
        <w:t>。</w:t>
      </w:r>
    </w:p>
    <w:p>
      <w:pPr>
        <w:widowControl/>
        <w:ind w:firstLine="480"/>
        <w:jc w:val="left"/>
        <w:rPr>
          <w:rFonts w:hint="eastAsia" w:eastAsiaTheme="minorEastAsia"/>
          <w:lang w:eastAsia="zh-CN"/>
        </w:rPr>
      </w:pPr>
      <w:r>
        <w:rPr>
          <w:rFonts w:hint="eastAsia"/>
        </w:rPr>
        <w:t>二、</w:t>
      </w:r>
      <w:r>
        <w:rPr>
          <w:rFonts w:hint="eastAsia" w:hAnsi="仿宋_GB2312" w:cs="仿宋_GB2312"/>
          <w:b/>
        </w:rPr>
        <w:t>节能</w:t>
      </w:r>
      <w:r>
        <w:rPr>
          <w:rFonts w:hint="eastAsia"/>
          <w:b/>
        </w:rPr>
        <w:t>能源、</w:t>
      </w:r>
      <w:r>
        <w:rPr>
          <w:rFonts w:hint="eastAsia" w:hAnsi="仿宋_GB2312" w:cs="仿宋_GB2312"/>
          <w:b/>
        </w:rPr>
        <w:t>减</w:t>
      </w:r>
      <w:r>
        <w:rPr>
          <w:rFonts w:hint="eastAsia" w:hAnsi="仿宋_GB2312" w:cs="仿宋_GB2312"/>
          <w:b/>
          <w:lang w:eastAsia="zh-CN"/>
        </w:rPr>
        <w:t>少</w:t>
      </w:r>
      <w:r>
        <w:rPr>
          <w:rFonts w:hint="eastAsia" w:hAnsi="仿宋_GB2312" w:cs="仿宋_GB2312"/>
          <w:b/>
        </w:rPr>
        <w:t>排</w:t>
      </w:r>
      <w:r>
        <w:rPr>
          <w:rFonts w:hint="eastAsia" w:hAnsi="仿宋_GB2312" w:cs="仿宋_GB2312"/>
          <w:b/>
          <w:lang w:eastAsia="zh-CN"/>
        </w:rPr>
        <w:t>放</w:t>
      </w:r>
    </w:p>
    <w:p>
      <w:pPr>
        <w:ind w:firstLine="480"/>
      </w:pPr>
      <w:r>
        <w:rPr>
          <w:rFonts w:hint="eastAsia" w:ascii="Calibri" w:hAnsi="Calibri" w:eastAsia="宋体" w:cs="Times New Roman"/>
        </w:rPr>
        <w:t>西南铝通过</w:t>
      </w:r>
      <w:r>
        <w:rPr>
          <w:rFonts w:hint="eastAsia"/>
        </w:rPr>
        <w:t>能源管理系统</w:t>
      </w:r>
      <w:r>
        <w:rPr>
          <w:rFonts w:hint="eastAsia" w:ascii="Calibri" w:hAnsi="Calibri" w:eastAsia="宋体" w:cs="Times New Roman"/>
        </w:rPr>
        <w:t>，</w:t>
      </w:r>
      <w:r>
        <w:rPr>
          <w:rFonts w:hint="eastAsia" w:hAnsi="仿宋_GB2312" w:cs="仿宋_GB2312"/>
        </w:rPr>
        <w:t>广泛开展</w:t>
      </w:r>
      <w:r>
        <w:rPr>
          <w:rFonts w:hint="eastAsia" w:ascii="Calibri" w:hAnsi="仿宋_GB2312" w:eastAsia="宋体" w:cs="仿宋_GB2312"/>
        </w:rPr>
        <w:t>节能监察</w:t>
      </w:r>
      <w:r>
        <w:rPr>
          <w:rFonts w:hint="eastAsia" w:hAnsi="仿宋_GB2312" w:cs="仿宋_GB2312"/>
        </w:rPr>
        <w:t>，</w:t>
      </w:r>
      <w:r>
        <w:rPr>
          <w:rFonts w:hint="eastAsia" w:ascii="Calibri" w:hAnsi="Calibri" w:eastAsia="宋体" w:cs="Times New Roman"/>
        </w:rPr>
        <w:t>强化能源基础管理</w:t>
      </w:r>
      <w:r>
        <w:rPr>
          <w:rFonts w:hint="eastAsia"/>
        </w:rPr>
        <w:t>，</w:t>
      </w:r>
      <w:r>
        <w:rPr>
          <w:rFonts w:hint="eastAsia" w:ascii="Calibri" w:hAnsi="Calibri" w:eastAsia="宋体" w:cs="Times New Roman"/>
        </w:rPr>
        <w:t>有效减少能源浪费，</w:t>
      </w:r>
      <w:r>
        <w:rPr>
          <w:rFonts w:hint="eastAsia"/>
        </w:rPr>
        <w:t xml:space="preserve"> 2018年节约能源4459吨标煤，减少碳排放8382</w:t>
      </w:r>
      <w:r>
        <w:t>吨二氧化碳当量</w:t>
      </w:r>
      <w:r>
        <w:rPr>
          <w:rFonts w:hint="eastAsia"/>
        </w:rPr>
        <w:t>。</w:t>
      </w:r>
    </w:p>
    <w:p>
      <w:pPr>
        <w:ind w:firstLine="482"/>
        <w:rPr>
          <w:b/>
        </w:rPr>
      </w:pPr>
      <w:r>
        <w:rPr>
          <w:rFonts w:hint="eastAsia"/>
          <w:b/>
        </w:rPr>
        <w:t>三、</w:t>
      </w:r>
      <w:r>
        <w:rPr>
          <w:rFonts w:hint="eastAsia"/>
          <w:b/>
          <w:lang w:eastAsia="zh-CN"/>
        </w:rPr>
        <w:t>能源管理水平得到提升</w:t>
      </w:r>
    </w:p>
    <w:p>
      <w:pPr>
        <w:ind w:firstLine="480"/>
        <w:rPr>
          <w:rFonts w:hint="eastAsia"/>
        </w:rPr>
      </w:pPr>
      <w:r>
        <w:rPr>
          <w:rFonts w:hint="eastAsia"/>
        </w:rPr>
        <w:t>通过建设能源管理系统，可以优化生产的运行和管理过程，达到生产调度、管理和决策的信息化、科学化，将传统的以人工经验为基础的粗放型生产经营管理模式转变为以信息技术为基础的集约型经营管理模式，走新型工业化道路。</w:t>
      </w:r>
    </w:p>
    <w:p>
      <w:pPr>
        <w:widowControl/>
        <w:ind w:firstLine="480"/>
        <w:rPr>
          <w:rFonts w:hint="eastAsia"/>
        </w:rPr>
      </w:pPr>
      <w:r>
        <w:rPr>
          <w:rFonts w:hint="eastAsia" w:ascii="Calibri" w:hAnsi="仿宋" w:eastAsia="宋体" w:cs="仿宋"/>
        </w:rPr>
        <w:t>在调度管理上完全实现了无纸化管理，在设备故障管理和维护方面也有初步成效。</w:t>
      </w:r>
      <w:r>
        <w:rPr>
          <w:rFonts w:hint="eastAsia"/>
        </w:rPr>
        <w:t>综合自动化系统的实施可减少能源的消耗，改善操作环境，减轻劳动强度，对西南铝实现可持续发展具有积极意义。</w:t>
      </w:r>
    </w:p>
    <w:p>
      <w:pPr>
        <w:widowControl/>
        <w:ind w:firstLine="480"/>
        <w:rPr>
          <w:rFonts w:hint="eastAsia"/>
        </w:rPr>
      </w:pPr>
      <w:r>
        <w:rPr>
          <w:rFonts w:hint="eastAsia"/>
        </w:rPr>
        <w:t>能源管理系统在西南铝的成功运用对铝加工行业具有广泛的借鉴价值。</w:t>
      </w:r>
    </w:p>
    <w:p>
      <w:pPr>
        <w:ind w:firstLine="482"/>
        <w:rPr>
          <w:b/>
        </w:rPr>
      </w:pPr>
      <w:r>
        <w:rPr>
          <w:rFonts w:hint="eastAsia"/>
          <w:b/>
        </w:rPr>
        <w:t>展望</w:t>
      </w:r>
    </w:p>
    <w:p>
      <w:pPr>
        <w:widowControl/>
        <w:ind w:firstLine="480"/>
      </w:pPr>
      <w:r>
        <w:rPr>
          <w:rFonts w:hint="eastAsia"/>
        </w:rPr>
        <w:t>绿色环保、低碳节能依旧是国家重点关注的话题，两化融合依然是绿色环保、低碳节能的有效途径。西南铝建设能源管理系统，提高信息化水平，使信息化与管理相结合，是企业可持续发展，保持市场竞争力的有效保障。</w:t>
      </w:r>
      <w:r>
        <w:rPr>
          <w:rFonts w:hint="eastAsia" w:ascii="Calibri" w:hAnsi="仿宋" w:eastAsia="宋体" w:cs="仿宋"/>
        </w:rPr>
        <w:t>目前西南铝正在进一步探索、挖掘能源管理系统在设备维护和工艺节能上的应用。</w:t>
      </w:r>
      <w:r>
        <w:rPr>
          <w:rFonts w:hint="eastAsia" w:eastAsia="宋体"/>
          <w:lang w:eastAsia="zh-CN"/>
        </w:rPr>
        <w:t>并</w:t>
      </w:r>
      <w:r>
        <w:rPr>
          <w:rFonts w:hint="eastAsia"/>
        </w:rPr>
        <w:t>认真总结在能源管理系统应用方面的经验，结合现场的实际情况，不断在现有基础上，挖掘新的节能点，引领能管系统在铝加工行业的应用和发展。</w:t>
      </w:r>
      <w:bookmarkStart w:id="1" w:name="_GoBack"/>
      <w:bookmarkEnd w:id="1"/>
    </w:p>
    <w:p>
      <w:pPr>
        <w:ind w:firstLine="480"/>
        <w:jc w:val="right"/>
      </w:pPr>
      <w:r>
        <w:rPr>
          <w:rFonts w:hint="eastAsia"/>
        </w:rPr>
        <w:t>（撰稿人：孔丹）</w:t>
      </w:r>
    </w:p>
    <w:p>
      <w:pPr>
        <w:ind w:firstLine="480"/>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libri Light">
    <w:altName w:val="Segoe UI"/>
    <w:panose1 w:val="00000000000000000000"/>
    <w:charset w:val="00"/>
    <w:family w:val="swiss"/>
    <w:pitch w:val="default"/>
    <w:sig w:usb0="00000000" w:usb1="00000000" w:usb2="00000000" w:usb3="00000000" w:csb0="0000019F" w:csb1="00000000"/>
  </w:font>
  <w:font w:name="仿宋">
    <w:altName w:val="Arial Unicode MS"/>
    <w:panose1 w:val="00000000000000000000"/>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Segoe UI">
    <w:panose1 w:val="020B0502040204020203"/>
    <w:charset w:val="00"/>
    <w:family w:val="auto"/>
    <w:pitch w:val="default"/>
    <w:sig w:usb0="E00022FF" w:usb1="C000205B" w:usb2="00000009" w:usb3="00000000" w:csb0="200001DF" w:csb1="2008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D6AC5"/>
    <w:multiLevelType w:val="multilevel"/>
    <w:tmpl w:val="176D6AC5"/>
    <w:lvl w:ilvl="0" w:tentative="0">
      <w:start w:val="1"/>
      <w:numFmt w:val="decimal"/>
      <w:pStyle w:val="11"/>
      <w:lvlText w:val="%1."/>
      <w:lvlJc w:val="left"/>
      <w:pPr>
        <w:ind w:left="420" w:hanging="4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E842BB8"/>
    <w:multiLevelType w:val="multilevel"/>
    <w:tmpl w:val="5E842BB8"/>
    <w:lvl w:ilvl="0" w:tentative="0">
      <w:start w:val="1"/>
      <w:numFmt w:val="decimal"/>
      <w:pStyle w:val="10"/>
      <w:lvlText w:val="%1."/>
      <w:lvlJc w:val="left"/>
      <w:pPr>
        <w:ind w:left="786"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E3C752A"/>
    <w:rsid w:val="00001DF4"/>
    <w:rsid w:val="0000333E"/>
    <w:rsid w:val="00030528"/>
    <w:rsid w:val="00030F87"/>
    <w:rsid w:val="00063DBE"/>
    <w:rsid w:val="000971D5"/>
    <w:rsid w:val="000A3A10"/>
    <w:rsid w:val="000E5BE3"/>
    <w:rsid w:val="000F15D8"/>
    <w:rsid w:val="000F65BD"/>
    <w:rsid w:val="0010465C"/>
    <w:rsid w:val="001468B3"/>
    <w:rsid w:val="0016049E"/>
    <w:rsid w:val="00161701"/>
    <w:rsid w:val="00164E43"/>
    <w:rsid w:val="00190E0B"/>
    <w:rsid w:val="00197748"/>
    <w:rsid w:val="001C0F60"/>
    <w:rsid w:val="001C1CEF"/>
    <w:rsid w:val="001E1EDE"/>
    <w:rsid w:val="00237145"/>
    <w:rsid w:val="00251C02"/>
    <w:rsid w:val="002811D6"/>
    <w:rsid w:val="0028400C"/>
    <w:rsid w:val="002B466F"/>
    <w:rsid w:val="002B67E2"/>
    <w:rsid w:val="002C624D"/>
    <w:rsid w:val="002D19CB"/>
    <w:rsid w:val="002F70FD"/>
    <w:rsid w:val="00315C6A"/>
    <w:rsid w:val="00324508"/>
    <w:rsid w:val="00325C77"/>
    <w:rsid w:val="003332DC"/>
    <w:rsid w:val="00347C10"/>
    <w:rsid w:val="00354147"/>
    <w:rsid w:val="00361308"/>
    <w:rsid w:val="00383150"/>
    <w:rsid w:val="00386531"/>
    <w:rsid w:val="003A396E"/>
    <w:rsid w:val="003B4FA7"/>
    <w:rsid w:val="003C4ADC"/>
    <w:rsid w:val="003C5682"/>
    <w:rsid w:val="003E501E"/>
    <w:rsid w:val="0041784B"/>
    <w:rsid w:val="00425AE1"/>
    <w:rsid w:val="004421BE"/>
    <w:rsid w:val="0046090D"/>
    <w:rsid w:val="00480C06"/>
    <w:rsid w:val="004C4399"/>
    <w:rsid w:val="004E53CB"/>
    <w:rsid w:val="00500B4D"/>
    <w:rsid w:val="005150D5"/>
    <w:rsid w:val="00526E3C"/>
    <w:rsid w:val="00560B60"/>
    <w:rsid w:val="005954B3"/>
    <w:rsid w:val="005D02AB"/>
    <w:rsid w:val="005D6BD8"/>
    <w:rsid w:val="005E0DE3"/>
    <w:rsid w:val="005E1429"/>
    <w:rsid w:val="005E25EB"/>
    <w:rsid w:val="005E45AD"/>
    <w:rsid w:val="005E63B8"/>
    <w:rsid w:val="00631E61"/>
    <w:rsid w:val="00642367"/>
    <w:rsid w:val="006652F3"/>
    <w:rsid w:val="006929C6"/>
    <w:rsid w:val="006A32AE"/>
    <w:rsid w:val="006B6ACD"/>
    <w:rsid w:val="006D0F77"/>
    <w:rsid w:val="006D7696"/>
    <w:rsid w:val="007361EE"/>
    <w:rsid w:val="0073639B"/>
    <w:rsid w:val="007446E1"/>
    <w:rsid w:val="00772F78"/>
    <w:rsid w:val="007A1F5A"/>
    <w:rsid w:val="007A739D"/>
    <w:rsid w:val="007A7FC9"/>
    <w:rsid w:val="007B343B"/>
    <w:rsid w:val="007E0A64"/>
    <w:rsid w:val="007F2485"/>
    <w:rsid w:val="008006D0"/>
    <w:rsid w:val="00803D47"/>
    <w:rsid w:val="008158F9"/>
    <w:rsid w:val="008161F9"/>
    <w:rsid w:val="00821021"/>
    <w:rsid w:val="008366E8"/>
    <w:rsid w:val="00836BC0"/>
    <w:rsid w:val="00837031"/>
    <w:rsid w:val="00857394"/>
    <w:rsid w:val="008726FF"/>
    <w:rsid w:val="0089736A"/>
    <w:rsid w:val="008A1CB0"/>
    <w:rsid w:val="008B071C"/>
    <w:rsid w:val="008D1D95"/>
    <w:rsid w:val="008F4EC8"/>
    <w:rsid w:val="009136BC"/>
    <w:rsid w:val="00915F98"/>
    <w:rsid w:val="0092703C"/>
    <w:rsid w:val="009315D2"/>
    <w:rsid w:val="009427FC"/>
    <w:rsid w:val="0094300E"/>
    <w:rsid w:val="00944CBF"/>
    <w:rsid w:val="00953BE8"/>
    <w:rsid w:val="009560C0"/>
    <w:rsid w:val="00966DE8"/>
    <w:rsid w:val="00984663"/>
    <w:rsid w:val="009D4C7F"/>
    <w:rsid w:val="00A1640E"/>
    <w:rsid w:val="00A8170A"/>
    <w:rsid w:val="00A86CF5"/>
    <w:rsid w:val="00AA6196"/>
    <w:rsid w:val="00AA7981"/>
    <w:rsid w:val="00AB126C"/>
    <w:rsid w:val="00AC474B"/>
    <w:rsid w:val="00B004C6"/>
    <w:rsid w:val="00B13594"/>
    <w:rsid w:val="00B16D4E"/>
    <w:rsid w:val="00B271C1"/>
    <w:rsid w:val="00B306C2"/>
    <w:rsid w:val="00BB098A"/>
    <w:rsid w:val="00BD4484"/>
    <w:rsid w:val="00BF4196"/>
    <w:rsid w:val="00BF6F56"/>
    <w:rsid w:val="00C00096"/>
    <w:rsid w:val="00C114C7"/>
    <w:rsid w:val="00C1163B"/>
    <w:rsid w:val="00C274D0"/>
    <w:rsid w:val="00C32EC2"/>
    <w:rsid w:val="00C41ED2"/>
    <w:rsid w:val="00C55C42"/>
    <w:rsid w:val="00C86E6D"/>
    <w:rsid w:val="00CD1AE4"/>
    <w:rsid w:val="00CF2DBA"/>
    <w:rsid w:val="00D36605"/>
    <w:rsid w:val="00D42516"/>
    <w:rsid w:val="00D63B62"/>
    <w:rsid w:val="00D64B2C"/>
    <w:rsid w:val="00D653FB"/>
    <w:rsid w:val="00D82798"/>
    <w:rsid w:val="00D87EAC"/>
    <w:rsid w:val="00D97CAB"/>
    <w:rsid w:val="00DB20B6"/>
    <w:rsid w:val="00DB73C3"/>
    <w:rsid w:val="00DB77B7"/>
    <w:rsid w:val="00DC52F9"/>
    <w:rsid w:val="00DC7336"/>
    <w:rsid w:val="00DD531D"/>
    <w:rsid w:val="00DF671C"/>
    <w:rsid w:val="00E2500B"/>
    <w:rsid w:val="00E50D16"/>
    <w:rsid w:val="00E5633E"/>
    <w:rsid w:val="00E82161"/>
    <w:rsid w:val="00E8680A"/>
    <w:rsid w:val="00EE4B1D"/>
    <w:rsid w:val="00EE53A5"/>
    <w:rsid w:val="00F16CE5"/>
    <w:rsid w:val="00F3735E"/>
    <w:rsid w:val="00F66E95"/>
    <w:rsid w:val="00F9399C"/>
    <w:rsid w:val="00FB5BB9"/>
    <w:rsid w:val="00FE7D93"/>
    <w:rsid w:val="00FF16DC"/>
    <w:rsid w:val="00FF45FD"/>
    <w:rsid w:val="1A215ACA"/>
    <w:rsid w:val="3D4E7D52"/>
    <w:rsid w:val="4E3C7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heme="minorHAnsi" w:hAnsiTheme="minorHAnsi" w:eastAsiaTheme="minorEastAsia" w:cstheme="minorBidi"/>
      <w:kern w:val="2"/>
      <w:sz w:val="24"/>
      <w:szCs w:val="22"/>
      <w:lang w:val="en-US" w:eastAsia="zh-CN" w:bidi="ar-SA"/>
    </w:rPr>
  </w:style>
  <w:style w:type="paragraph" w:styleId="2">
    <w:name w:val="heading 2"/>
    <w:basedOn w:val="1"/>
    <w:next w:val="1"/>
    <w:unhideWhenUsed/>
    <w:qFormat/>
    <w:uiPriority w:val="0"/>
    <w:pPr>
      <w:keepNext/>
      <w:keepLines/>
      <w:spacing w:before="260" w:after="260" w:line="416" w:lineRule="auto"/>
      <w:ind w:firstLine="0" w:firstLineChars="0"/>
      <w:outlineLvl w:val="1"/>
    </w:pPr>
    <w:rPr>
      <w:rFonts w:asciiTheme="majorHAnsi" w:hAnsiTheme="majorHAnsi" w:eastAsiaTheme="majorEastAsia" w:cstheme="majorBidi"/>
      <w:b/>
      <w:bCs/>
      <w:sz w:val="30"/>
      <w:szCs w:val="32"/>
    </w:rPr>
  </w:style>
  <w:style w:type="character" w:default="1" w:styleId="9">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4"/>
    <w:uiPriority w:val="0"/>
    <w:pPr>
      <w:spacing w:line="240" w:lineRule="auto"/>
    </w:pPr>
    <w:rPr>
      <w:sz w:val="18"/>
      <w:szCs w:val="18"/>
    </w:rPr>
  </w:style>
  <w:style w:type="paragraph" w:styleId="4">
    <w:name w:val="footer"/>
    <w:basedOn w:val="1"/>
    <w:link w:val="13"/>
    <w:uiPriority w:val="0"/>
    <w:pPr>
      <w:tabs>
        <w:tab w:val="center" w:pos="4153"/>
        <w:tab w:val="right" w:pos="8306"/>
      </w:tabs>
      <w:snapToGrid w:val="0"/>
      <w:spacing w:line="240" w:lineRule="auto"/>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unhideWhenUsed/>
    <w:uiPriority w:val="99"/>
    <w:pPr>
      <w:widowControl/>
      <w:spacing w:before="100" w:beforeAutospacing="1" w:after="100" w:afterAutospacing="1" w:line="240" w:lineRule="auto"/>
      <w:ind w:firstLine="0" w:firstLineChars="0"/>
      <w:jc w:val="left"/>
    </w:pPr>
    <w:rPr>
      <w:rFonts w:ascii="宋体" w:hAnsi="宋体" w:eastAsia="宋体" w:cs="宋体"/>
      <w:kern w:val="0"/>
      <w:szCs w:val="24"/>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样式1"/>
    <w:basedOn w:val="11"/>
    <w:qFormat/>
    <w:uiPriority w:val="0"/>
    <w:pPr>
      <w:numPr>
        <w:ilvl w:val="0"/>
        <w:numId w:val="1"/>
      </w:numPr>
      <w:ind w:left="644"/>
    </w:pPr>
  </w:style>
  <w:style w:type="paragraph" w:customStyle="1" w:styleId="11">
    <w:name w:val="小标题"/>
    <w:basedOn w:val="2"/>
    <w:qFormat/>
    <w:uiPriority w:val="0"/>
    <w:pPr>
      <w:numPr>
        <w:ilvl w:val="0"/>
        <w:numId w:val="2"/>
      </w:numPr>
      <w:ind w:firstLine="480"/>
    </w:pPr>
  </w:style>
  <w:style w:type="character" w:customStyle="1" w:styleId="12">
    <w:name w:val="页眉 Char"/>
    <w:basedOn w:val="9"/>
    <w:link w:val="5"/>
    <w:uiPriority w:val="0"/>
    <w:rPr>
      <w:kern w:val="2"/>
      <w:sz w:val="18"/>
      <w:szCs w:val="18"/>
    </w:rPr>
  </w:style>
  <w:style w:type="character" w:customStyle="1" w:styleId="13">
    <w:name w:val="页脚 Char"/>
    <w:basedOn w:val="9"/>
    <w:link w:val="4"/>
    <w:uiPriority w:val="0"/>
    <w:rPr>
      <w:kern w:val="2"/>
      <w:sz w:val="18"/>
      <w:szCs w:val="18"/>
    </w:rPr>
  </w:style>
  <w:style w:type="character" w:customStyle="1" w:styleId="14">
    <w:name w:val="批注框文本 Char"/>
    <w:basedOn w:val="9"/>
    <w:link w:val="3"/>
    <w:uiPriority w:val="0"/>
    <w:rPr>
      <w:kern w:val="2"/>
      <w:sz w:val="18"/>
      <w:szCs w:val="18"/>
    </w:rPr>
  </w:style>
  <w:style w:type="paragraph" w:styleId="15">
    <w:name w:val="List Paragraph"/>
    <w:basedOn w:val="1"/>
    <w:unhideWhenUsed/>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297</Words>
  <Characters>1698</Characters>
  <Lines>14</Lines>
  <Paragraphs>3</Paragraphs>
  <TotalTime>1</TotalTime>
  <ScaleCrop>false</ScaleCrop>
  <LinksUpToDate>false</LinksUpToDate>
  <CharactersWithSpaces>1992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2019-02-15T07:47:00Z</dcterms:created>
  <dc:creator>Administrator</dc:creator>
  <cp:lastModifiedBy>木央</cp:lastModifiedBy>
  <dcterms:modified xsi:type="dcterms:W3CDTF">2021-06-25T01:22:32Z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