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cs="华文中宋"/>
          <w:sz w:val="36"/>
          <w:szCs w:val="36"/>
          <w:lang w:eastAsia="zh-CN"/>
        </w:rPr>
      </w:pPr>
      <w:r>
        <w:rPr>
          <w:rFonts w:hint="eastAsia" w:ascii="华文中宋" w:hAnsi="华文中宋" w:eastAsia="华文中宋" w:cs="华文中宋"/>
          <w:sz w:val="36"/>
          <w:szCs w:val="36"/>
        </w:rPr>
        <w:t>做好碳排放的核查</w:t>
      </w:r>
      <w:r>
        <w:rPr>
          <w:rFonts w:hint="eastAsia" w:ascii="华文中宋" w:hAnsi="华文中宋" w:eastAsia="华文中宋" w:cs="华文中宋"/>
          <w:sz w:val="36"/>
          <w:szCs w:val="36"/>
          <w:lang w:eastAsia="zh-CN"/>
        </w:rPr>
        <w:t>“</w:t>
      </w:r>
      <w:r>
        <w:rPr>
          <w:rFonts w:hint="eastAsia" w:ascii="华文中宋" w:hAnsi="华文中宋" w:eastAsia="华文中宋" w:cs="华文中宋"/>
          <w:sz w:val="36"/>
          <w:szCs w:val="36"/>
        </w:rPr>
        <w:t>官</w:t>
      </w:r>
      <w:r>
        <w:rPr>
          <w:rFonts w:hint="eastAsia" w:ascii="华文中宋" w:hAnsi="华文中宋" w:eastAsia="华文中宋" w:cs="华文中宋"/>
          <w:sz w:val="36"/>
          <w:szCs w:val="36"/>
          <w:lang w:eastAsia="zh-CN"/>
        </w:rPr>
        <w:t>”</w:t>
      </w:r>
    </w:p>
    <w:p>
      <w:pPr>
        <w:jc w:val="center"/>
        <w:rPr>
          <w:rFonts w:hint="eastAsia" w:ascii="华文中宋" w:hAnsi="华文中宋" w:eastAsia="华文中宋" w:cs="华文中宋"/>
          <w:sz w:val="36"/>
          <w:szCs w:val="36"/>
          <w:lang w:eastAsia="zh-CN"/>
        </w:rPr>
      </w:pPr>
    </w:p>
    <w:p>
      <w:pPr>
        <w:ind w:firstLine="602" w:firstLineChars="20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一、公司简介</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中国铝业郑州有色金属研究院有限公司（以下简称“郑州研究院”）是中国轻金属专业领域唯一的大型科研机构。</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郑州研究院是国家高新技术企业，温室气体自愿减排交易项目审定与核证机构，2004年通过了中国质量认证中心(CQC)质量、职业健康安全与环境三大体系认证。</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郑州研究院始终以铝工业的绿色发展为己任，自觉履行节约资源和保护环境的社会责任，积极开发支撑资源、环境、经济、社会和谐发展的绿色先进技术，通过技术创新实现经济发展和生态环境保护有机统一。</w:t>
      </w:r>
    </w:p>
    <w:p>
      <w:pPr>
        <w:ind w:firstLine="602" w:firstLineChars="20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二、背景</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党的十九大报告明确要求“加快生态文明体制改革，建立健全绿色低碳循环发展的经济体系”。2017年12月，覆盖全国的统一碳交易市场正式启动，并且从部分数据基础较好的电力行业率先开展。碳排放市场的建立健全，需要做好重点排放企业温室气体排放报告、核算与核查工作。通过碳排放核查推进碳排放权交易、实现重点排放企业积极改进技术，主动提升节能减排与环境治理，实现中国产业的供给侧改革和结构调整，开拓绿色发展道路。加强碳排放核查，督促企业建立碳排放管理体系，设立碳排放目标，有利于降低能源消耗，有利于实现单位国内生产总值（GDP）能耗和二氧化碳排放量的下降，这对于党和国家向国际社会承诺2030年二氧化碳排放达峰的中长期发展目标来说，是非常重要的手段。随着碳排放交易市场的不断完善，未来将会有越来越多的行业或企业纳入碳排放交易体系，碳排放核查工作的重要性将更为明显。</w:t>
      </w:r>
    </w:p>
    <w:p>
      <w:pPr>
        <w:ind w:firstLine="602" w:firstLineChars="20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三、解决方案</w:t>
      </w:r>
    </w:p>
    <w:p>
      <w:pPr>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（一）开展</w:t>
      </w:r>
      <w:r>
        <w:rPr>
          <w:rFonts w:hint="eastAsia" w:ascii="仿宋_GB2312" w:hAnsi="仿宋_GB2312" w:eastAsia="仿宋_GB2312" w:cs="仿宋_GB2312"/>
          <w:sz w:val="30"/>
          <w:szCs w:val="30"/>
        </w:rPr>
        <w:t>CCER项目审定与核证机构</w:t>
      </w:r>
      <w:r>
        <w:rPr>
          <w:rFonts w:hint="eastAsia" w:ascii="仿宋_GB2312" w:hAnsi="仿宋_GB2312" w:eastAsia="仿宋_GB2312" w:cs="仿宋_GB2312"/>
          <w:sz w:val="30"/>
          <w:szCs w:val="30"/>
          <w:lang w:eastAsia="zh-CN"/>
        </w:rPr>
        <w:t>资格申请</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在中铝集团的大力支持下，郑州研究院积极申请“温室气体自愿减排交易项目（CCER）审定与核证机构”，并于2016年11月获得国家发改委正式批准，授权的业务领域包括制造业、化工行业、矿产品和金属生产。根据郑州研究院的碳排放工作部署，温室气体管理业务由质检中心（国家轻金属质量监督检验中心）承担。</w:t>
      </w:r>
    </w:p>
    <w:p>
      <w:pPr>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（二）开展</w:t>
      </w:r>
      <w:r>
        <w:rPr>
          <w:rFonts w:hint="eastAsia" w:ascii="仿宋_GB2312" w:hAnsi="仿宋_GB2312" w:eastAsia="仿宋_GB2312" w:cs="仿宋_GB2312"/>
          <w:sz w:val="30"/>
          <w:szCs w:val="30"/>
        </w:rPr>
        <w:t>碳排放核查与CCER审定核证相关</w:t>
      </w:r>
      <w:r>
        <w:rPr>
          <w:rFonts w:hint="eastAsia" w:ascii="仿宋_GB2312" w:hAnsi="仿宋_GB2312" w:eastAsia="仿宋_GB2312" w:cs="仿宋_GB2312"/>
          <w:sz w:val="30"/>
          <w:szCs w:val="30"/>
          <w:lang w:eastAsia="zh-CN"/>
        </w:rPr>
        <w:t>专业培训</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郑州研究院多次组织相关人员参加</w:t>
      </w:r>
      <w:r>
        <w:rPr>
          <w:rFonts w:hint="eastAsia" w:ascii="仿宋_GB2312" w:hAnsi="仿宋_GB2312" w:eastAsia="仿宋_GB2312" w:cs="仿宋_GB2312"/>
          <w:sz w:val="30"/>
          <w:szCs w:val="30"/>
          <w:lang w:eastAsia="zh-CN"/>
        </w:rPr>
        <w:t>专业</w:t>
      </w:r>
      <w:r>
        <w:rPr>
          <w:rFonts w:hint="eastAsia" w:ascii="仿宋_GB2312" w:hAnsi="仿宋_GB2312" w:eastAsia="仿宋_GB2312" w:cs="仿宋_GB2312"/>
          <w:sz w:val="30"/>
          <w:szCs w:val="30"/>
        </w:rPr>
        <w:t>培训，通过对电解铝等行业温室气体排放报告与核算指南、国家发展和改革委员会关于温室气体排放各项政策的学习宣贯，不断积累碳排放核查与CCER审定核证相关的知识和技能。</w:t>
      </w:r>
    </w:p>
    <w:p>
      <w:pPr>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（三）开展实践练兵</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2018年5月，郑州研究院与北京中创碳投科技有限公司达成战略合作协议，共同对中铝集团的中铝中州铝业有限公司、包头铝业有限公司、内蒙古华云新材料有限公司和中铝宁夏能源有限公司六盘山热电厂等企业二氧化碳排放进行现场了内部核查工作。通过内部核查合作交流与学习，研究院具备了独立的碳排放核查能力。</w:t>
      </w:r>
    </w:p>
    <w:p>
      <w:pPr>
        <w:ind w:firstLine="602" w:firstLineChars="20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四、成效</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郑州研究院与成都育阳机电科技有限公司组成联合体，共同参与山西省发展和改革委员会组织的重点企业碳排放核查项目的投标工作。郑州研究院与成都育阳机电科技有限公司赢得了评委的信任和认可，成为中标单位之一。</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郑州研究院对承担的阳泉冀东水泥有限责任公司、山西兆丰铝电有限责任公司、阳泉市南煤龙川发电有限责任公司和黎城太行钢铁有限公司等企业2016年和2017年度的温室气体排放报告进行了核查。郑州研究院严格依据相关核算指南要求，圆满完成了核查任务。郑州研究院发布了科学、合理和完整的企业温室气体核查报告，为山西省碳排放管理部门提供了质量可靠的数据，为全国范围内有效实施碳配额发放和实施碳交易奉献了一份力量。</w:t>
      </w:r>
    </w:p>
    <w:p>
      <w:pPr>
        <w:ind w:firstLine="602" w:firstLineChars="200"/>
        <w:rPr>
          <w:rFonts w:hint="eastAsia" w:ascii="仿宋_GB2312" w:hAnsi="仿宋_GB2312" w:eastAsia="仿宋_GB2312" w:cs="仿宋_GB2312"/>
          <w:b/>
          <w:bCs/>
          <w:sz w:val="30"/>
          <w:szCs w:val="30"/>
        </w:rPr>
      </w:pPr>
      <w:r>
        <w:rPr>
          <w:rFonts w:hint="eastAsia" w:ascii="仿宋_GB2312" w:hAnsi="仿宋_GB2312" w:eastAsia="仿宋_GB2312" w:cs="仿宋_GB2312"/>
          <w:b/>
          <w:bCs/>
          <w:sz w:val="30"/>
          <w:szCs w:val="30"/>
        </w:rPr>
        <w:t>五、展望</w:t>
      </w:r>
    </w:p>
    <w:p>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通过不断开展碳排放核查，积累经验为中铝集团企业在降低碳排放方面提供策略方案。为推进电解铝行业节能减碳工作，全面了解和掌握电解铝行业和重点企业参与碳市场建设基本情况，郑州研究院将积极开展重点电解铝企业节能降碳工作情况调研，努力完成电解铝行业碳市场建设进展报告。结合前期在碳核查方面的工作基础，指导电解铝企业参与碳排放权交易和碳资产管理，为电解铝行业顺利纳入全国碳交易市场打好基础工作。</w:t>
      </w:r>
    </w:p>
    <w:p>
      <w:pPr>
        <w:spacing w:line="460" w:lineRule="exact"/>
        <w:jc w:val="center"/>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（撰稿人：</w:t>
      </w:r>
      <w:r>
        <w:rPr>
          <w:rFonts w:hint="eastAsia" w:ascii="仿宋_GB2312" w:hAnsi="仿宋_GB2312" w:eastAsia="仿宋_GB2312" w:cs="仿宋_GB2312"/>
          <w:kern w:val="0"/>
          <w:sz w:val="24"/>
          <w:szCs w:val="20"/>
        </w:rPr>
        <w:t>李荣柱</w:t>
      </w:r>
      <w:r>
        <w:rPr>
          <w:rFonts w:hint="eastAsia" w:ascii="仿宋_GB2312" w:hAnsi="仿宋_GB2312" w:eastAsia="仿宋_GB2312" w:cs="仿宋_GB2312"/>
          <w:kern w:val="0"/>
          <w:sz w:val="24"/>
          <w:szCs w:val="20"/>
          <w:lang w:val="en-US" w:eastAsia="zh-CN"/>
        </w:rPr>
        <w:t xml:space="preserve">  </w:t>
      </w:r>
      <w:r>
        <w:rPr>
          <w:rFonts w:hint="eastAsia" w:ascii="仿宋_GB2312" w:hAnsi="仿宋_GB2312" w:eastAsia="仿宋_GB2312" w:cs="仿宋_GB2312"/>
          <w:kern w:val="0"/>
          <w:sz w:val="24"/>
          <w:szCs w:val="20"/>
        </w:rPr>
        <w:t>杨</w:t>
      </w:r>
      <w:bookmarkStart w:id="0" w:name="_GoBack"/>
      <w:bookmarkEnd w:id="0"/>
      <w:r>
        <w:rPr>
          <w:rFonts w:hint="eastAsia" w:ascii="仿宋_GB2312" w:hAnsi="仿宋_GB2312" w:eastAsia="仿宋_GB2312" w:cs="仿宋_GB2312"/>
          <w:kern w:val="0"/>
          <w:sz w:val="24"/>
          <w:szCs w:val="20"/>
        </w:rPr>
        <w:t>昊</w:t>
      </w:r>
      <w:r>
        <w:rPr>
          <w:rFonts w:hint="eastAsia" w:ascii="仿宋_GB2312" w:hAnsi="仿宋_GB2312" w:eastAsia="仿宋_GB2312" w:cs="仿宋_GB2312"/>
          <w:kern w:val="0"/>
          <w:sz w:val="24"/>
          <w:szCs w:val="20"/>
          <w:lang w:val="en-US" w:eastAsia="zh-CN"/>
        </w:rPr>
        <w:t xml:space="preserve">  </w:t>
      </w:r>
      <w:r>
        <w:rPr>
          <w:rFonts w:hint="eastAsia" w:ascii="仿宋_GB2312" w:hAnsi="仿宋_GB2312" w:eastAsia="仿宋_GB2312" w:cs="仿宋_GB2312"/>
          <w:kern w:val="0"/>
          <w:sz w:val="24"/>
          <w:szCs w:val="20"/>
        </w:rPr>
        <w:t>韦道静</w:t>
      </w:r>
      <w:r>
        <w:rPr>
          <w:rFonts w:hint="eastAsia" w:ascii="仿宋_GB2312" w:hAnsi="仿宋_GB2312" w:eastAsia="仿宋_GB2312" w:cs="仿宋_GB2312"/>
          <w:sz w:val="30"/>
          <w:szCs w:val="30"/>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E40BF"/>
    <w:rsid w:val="00001F3B"/>
    <w:rsid w:val="00004567"/>
    <w:rsid w:val="0007275C"/>
    <w:rsid w:val="000C3242"/>
    <w:rsid w:val="000E40BF"/>
    <w:rsid w:val="00145F0D"/>
    <w:rsid w:val="001A0D0B"/>
    <w:rsid w:val="00202B0A"/>
    <w:rsid w:val="0021111C"/>
    <w:rsid w:val="0027603F"/>
    <w:rsid w:val="002D22E5"/>
    <w:rsid w:val="003B4497"/>
    <w:rsid w:val="003D4587"/>
    <w:rsid w:val="00447DAE"/>
    <w:rsid w:val="00471E02"/>
    <w:rsid w:val="004903E2"/>
    <w:rsid w:val="00530E38"/>
    <w:rsid w:val="0056776F"/>
    <w:rsid w:val="005D7495"/>
    <w:rsid w:val="00621B6D"/>
    <w:rsid w:val="006411E1"/>
    <w:rsid w:val="0066730F"/>
    <w:rsid w:val="006F1451"/>
    <w:rsid w:val="006F3645"/>
    <w:rsid w:val="00704FEB"/>
    <w:rsid w:val="00806CD5"/>
    <w:rsid w:val="00846C29"/>
    <w:rsid w:val="008D0980"/>
    <w:rsid w:val="00920D65"/>
    <w:rsid w:val="00943C7B"/>
    <w:rsid w:val="00985EB5"/>
    <w:rsid w:val="00A64BDD"/>
    <w:rsid w:val="00A949E2"/>
    <w:rsid w:val="00AA6FFF"/>
    <w:rsid w:val="00AC540E"/>
    <w:rsid w:val="00AF513E"/>
    <w:rsid w:val="00B01871"/>
    <w:rsid w:val="00B70E4A"/>
    <w:rsid w:val="00B860BB"/>
    <w:rsid w:val="00BA1343"/>
    <w:rsid w:val="00BE3A99"/>
    <w:rsid w:val="00C114E0"/>
    <w:rsid w:val="00CF498C"/>
    <w:rsid w:val="00DB5B3C"/>
    <w:rsid w:val="00E37F82"/>
    <w:rsid w:val="00E96567"/>
    <w:rsid w:val="00F879F8"/>
    <w:rsid w:val="00FE2BDB"/>
    <w:rsid w:val="159B2D09"/>
    <w:rsid w:val="284A01FC"/>
    <w:rsid w:val="698226BC"/>
    <w:rsid w:val="7DA83E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Date"/>
    <w:basedOn w:val="1"/>
    <w:next w:val="1"/>
    <w:link w:val="10"/>
    <w:semiHidden/>
    <w:unhideWhenUsed/>
    <w:qFormat/>
    <w:uiPriority w:val="99"/>
    <w:pPr>
      <w:ind w:left="100" w:leftChars="2500"/>
    </w:p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7"/>
    <w:link w:val="4"/>
    <w:uiPriority w:val="99"/>
    <w:rPr>
      <w:sz w:val="18"/>
      <w:szCs w:val="18"/>
    </w:rPr>
  </w:style>
  <w:style w:type="character" w:customStyle="1" w:styleId="9">
    <w:name w:val="页脚 Char"/>
    <w:basedOn w:val="7"/>
    <w:link w:val="3"/>
    <w:uiPriority w:val="99"/>
    <w:rPr>
      <w:sz w:val="18"/>
      <w:szCs w:val="18"/>
    </w:rPr>
  </w:style>
  <w:style w:type="character" w:customStyle="1" w:styleId="10">
    <w:name w:val="日期 Char"/>
    <w:basedOn w:val="7"/>
    <w:link w:val="2"/>
    <w:semiHidden/>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4</Pages>
  <Words>256</Words>
  <Characters>1463</Characters>
  <Lines>12</Lines>
  <Paragraphs>3</Paragraphs>
  <TotalTime>0</TotalTime>
  <ScaleCrop>false</ScaleCrop>
  <LinksUpToDate>false</LinksUpToDate>
  <CharactersWithSpaces>1716</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2019-01-15T03:43:00Z</dcterms:created>
  <dc:creator>内网信息</dc:creator>
  <cp:lastModifiedBy>木央</cp:lastModifiedBy>
  <dcterms:modified xsi:type="dcterms:W3CDTF">2021-06-30T02:30:12Z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